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289.0" w:type="dxa"/>
        <w:jc w:val="left"/>
        <w:tblInd w:w="0.0" w:type="dxa"/>
        <w:tblLayout w:type="fixed"/>
        <w:tblLook w:val="0000"/>
      </w:tblPr>
      <w:tblGrid>
        <w:gridCol w:w="4644"/>
        <w:gridCol w:w="4645"/>
        <w:tblGridChange w:id="0">
          <w:tblGrid>
            <w:gridCol w:w="4644"/>
            <w:gridCol w:w="4645"/>
          </w:tblGrid>
        </w:tblGridChange>
      </w:tblGrid>
      <w:tr>
        <w:trPr>
          <w:cantSplit w:val="1"/>
          <w:tblHeader w:val="0"/>
        </w:trPr>
        <w:tc>
          <w:tcPr/>
          <w:p w:rsidR="00000000" w:rsidDel="00000000" w:rsidP="00000000" w:rsidRDefault="00000000" w:rsidRPr="00000000" w14:paraId="00000002">
            <w:pPr>
              <w:rPr/>
            </w:pPr>
            <w:bookmarkStart w:colFirst="0" w:colLast="0" w:name="_gjdgxs" w:id="0"/>
            <w:bookmarkEnd w:id="0"/>
            <w:r w:rsidDel="00000000" w:rsidR="00000000" w:rsidRPr="00000000">
              <w:rPr/>
              <w:drawing>
                <wp:inline distB="0" distT="0" distL="0" distR="0">
                  <wp:extent cx="1799590" cy="1558925"/>
                  <wp:effectExtent b="0" l="0" r="0" t="0"/>
                  <wp:docPr descr="CoRLogo_IT" id="3" name="image3.png"/>
                  <a:graphic>
                    <a:graphicData uri="http://schemas.openxmlformats.org/drawingml/2006/picture">
                      <pic:pic>
                        <pic:nvPicPr>
                          <pic:cNvPr descr="CoRLogo_IT" id="0" name="image3.png"/>
                          <pic:cNvPicPr preferRelativeResize="0"/>
                        </pic:nvPicPr>
                        <pic:blipFill>
                          <a:blip r:embed="rId7"/>
                          <a:srcRect b="0" l="0" r="0" t="0"/>
                          <a:stretch>
                            <a:fillRect/>
                          </a:stretch>
                        </pic:blipFill>
                        <pic:spPr>
                          <a:xfrm>
                            <a:off x="0" y="0"/>
                            <a:ext cx="1799590" cy="15589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rPr/>
            </w:pPr>
            <w:r w:rsidDel="00000000" w:rsidR="00000000" w:rsidRPr="00000000">
              <w:rPr>
                <w:rtl w:val="0"/>
              </w:rPr>
            </w:r>
          </w:p>
        </w:tc>
      </w:tr>
      <w:tr>
        <w:trPr>
          <w:cantSplit w:val="1"/>
          <w:tblHeader w:val="0"/>
        </w:trPr>
        <w:tc>
          <w:tcPr>
            <w:gridSpan w:val="2"/>
          </w:tcPr>
          <w:p w:rsidR="00000000" w:rsidDel="00000000" w:rsidP="00000000" w:rsidRDefault="00000000" w:rsidRPr="00000000" w14:paraId="00000004">
            <w:pPr>
              <w:jc w:val="right"/>
              <w:rPr>
                <w:b w:val="1"/>
                <w:sz w:val="28"/>
                <w:szCs w:val="28"/>
              </w:rPr>
            </w:pPr>
            <w:r w:rsidDel="00000000" w:rsidR="00000000" w:rsidRPr="00000000">
              <w:rPr>
                <w:b w:val="1"/>
                <w:sz w:val="28"/>
                <w:szCs w:val="28"/>
                <w:rtl w:val="0"/>
              </w:rPr>
              <w:t xml:space="preserve">ECON-VII/021</w:t>
            </w:r>
          </w:p>
        </w:tc>
      </w:tr>
      <w:tr>
        <w:trPr>
          <w:cantSplit w:val="0"/>
          <w:tblHeader w:val="0"/>
        </w:trPr>
        <w:tc>
          <w:tcPr>
            <w:gridSpan w:val="2"/>
          </w:tcPr>
          <w:p w:rsidR="00000000" w:rsidDel="00000000" w:rsidP="00000000" w:rsidRDefault="00000000" w:rsidRPr="00000000" w14:paraId="00000006">
            <w:pPr>
              <w:jc w:val="center"/>
              <w:rPr>
                <w:b w:val="1"/>
                <w:sz w:val="28"/>
                <w:szCs w:val="28"/>
              </w:rPr>
            </w:pPr>
            <w:r w:rsidDel="00000000" w:rsidR="00000000" w:rsidRPr="00000000">
              <w:rPr>
                <w:rtl w:val="0"/>
              </w:rPr>
            </w:r>
          </w:p>
          <w:p w:rsidR="00000000" w:rsidDel="00000000" w:rsidP="00000000" w:rsidRDefault="00000000" w:rsidRPr="00000000" w14:paraId="00000007">
            <w:pPr>
              <w:jc w:val="center"/>
              <w:rPr>
                <w:b w:val="1"/>
                <w:sz w:val="28"/>
                <w:szCs w:val="28"/>
              </w:rPr>
            </w:pPr>
            <w:r w:rsidDel="00000000" w:rsidR="00000000" w:rsidRPr="00000000">
              <w:rPr>
                <w:b w:val="1"/>
                <w:sz w:val="28"/>
                <w:szCs w:val="28"/>
                <w:rtl w:val="0"/>
              </w:rPr>
              <w:t xml:space="preserve">13ª riunione della commissione dell'8 luglio 2022</w:t>
            </w:r>
          </w:p>
        </w:tc>
      </w:tr>
    </w:tbl>
    <w:p w:rsidR="00000000" w:rsidDel="00000000" w:rsidP="00000000" w:rsidRDefault="00000000" w:rsidRPr="00000000" w14:paraId="00000009">
      <w:pPr>
        <w:rPr/>
      </w:pPr>
      <w:r w:rsidDel="00000000" w:rsidR="00000000" w:rsidRPr="00000000">
        <w:rPr/>
        <mc:AlternateContent>
          <mc:Choice Requires="wps">
            <w:drawing>
              <wp:anchor allowOverlap="1" behindDoc="1" distB="0" distT="0" distL="0" distR="0" hidden="0" layoutInCell="1" locked="0" relativeHeight="0" simplePos="0">
                <wp:simplePos x="0" y="0"/>
                <wp:positionH relativeFrom="page">
                  <wp:posOffset>6769100</wp:posOffset>
                </wp:positionH>
                <wp:positionV relativeFrom="page">
                  <wp:posOffset>10081260</wp:posOffset>
                </wp:positionV>
                <wp:extent cx="647700" cy="396240"/>
                <wp:effectExtent b="0" l="0" r="0" t="0"/>
                <wp:wrapNone/>
                <wp:docPr id="1" name=""/>
                <a:graphic>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ext uri="{91240B29-F687-4F45-9708-019B960494DF}"/>
                        </a:extLst>
                      </wps:spPr>
                      <wps:txbx>
                        <w:txbxContent>
                          <w:p w:rsidR="00444A98" w:rsidDel="00000000" w:rsidP="00000000" w:rsidRDefault="00444A98" w:rsidRPr="00B33430" w14:paraId="7E9E43FB" w14:textId="77777777">
                            <w:pPr>
                              <w:jc w:val="center"/>
                              <w:rPr>
                                <w:rFonts w:ascii="Arial" w:cs="Arial" w:hAnsi="Arial"/>
                                <w:b w:val="1"/>
                                <w:bCs w:val="1"/>
                                <w:sz w:val="48"/>
                              </w:rPr>
                            </w:pPr>
                            <w:r w:rsidDel="00000000" w:rsidR="00000000" w:rsidRPr="00000000">
                              <w:rPr>
                                <w:rFonts w:ascii="Arial" w:hAnsi="Arial"/>
                                <w:b w:val="1"/>
                                <w:sz w:val="48"/>
                              </w:rPr>
                              <w:t>IT</w:t>
                            </w:r>
                          </w:p>
                        </w:txbxContent>
                      </wps:txbx>
                      <wps:bodyPr anchorCtr="0" anchor="t" bIns="45720" lIns="91440" rIns="91440" rot="0" upright="1"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page">
                  <wp:posOffset>6769100</wp:posOffset>
                </wp:positionH>
                <wp:positionV relativeFrom="page">
                  <wp:posOffset>10081260</wp:posOffset>
                </wp:positionV>
                <wp:extent cx="647700" cy="39624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47700" cy="39624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sz w:val="28"/>
          <w:szCs w:val="28"/>
        </w:rPr>
      </w:pPr>
      <w:r w:rsidDel="00000000" w:rsidR="00000000" w:rsidRPr="00000000">
        <w:rPr>
          <w:b w:val="1"/>
          <w:sz w:val="28"/>
          <w:szCs w:val="28"/>
          <w:rtl w:val="0"/>
        </w:rPr>
        <w:t xml:space="preserve">PROGETTO DI PARERE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jc w:val="center"/>
        <w:rPr>
          <w:b w:val="1"/>
          <w:sz w:val="28"/>
          <w:szCs w:val="28"/>
        </w:rPr>
      </w:pPr>
      <w:r w:rsidDel="00000000" w:rsidR="00000000" w:rsidRPr="00000000">
        <w:rPr>
          <w:b w:val="1"/>
          <w:sz w:val="28"/>
          <w:szCs w:val="28"/>
          <w:rtl w:val="0"/>
        </w:rPr>
        <w:t xml:space="preserve">Commissione Politica economica</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jc w:val="center"/>
        <w:rPr>
          <w:sz w:val="28"/>
          <w:szCs w:val="28"/>
        </w:rPr>
      </w:pPr>
      <w:r w:rsidDel="00000000" w:rsidR="00000000" w:rsidRPr="00000000">
        <w:rPr>
          <w:b w:val="1"/>
          <w:sz w:val="28"/>
          <w:szCs w:val="28"/>
          <w:rtl w:val="0"/>
        </w:rPr>
        <w:t xml:space="preserve">Coesione digitale</w:t>
      </w:r>
      <w:r w:rsidDel="00000000" w:rsidR="00000000" w:rsidRPr="00000000">
        <w:rPr>
          <w:rtl w:val="0"/>
        </w:rPr>
      </w:r>
    </w:p>
    <w:p w:rsidR="00000000" w:rsidDel="00000000" w:rsidP="00000000" w:rsidRDefault="00000000" w:rsidRPr="00000000" w14:paraId="00000010">
      <w:pPr>
        <w:jc w:val="left"/>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tbl>
      <w:tblPr>
        <w:tblStyle w:val="Table2"/>
        <w:tblW w:w="9073.0" w:type="dxa"/>
        <w:jc w:val="left"/>
        <w:tblInd w:w="0.0" w:type="dxa"/>
        <w:tblLayout w:type="fixed"/>
        <w:tblLook w:val="0000"/>
      </w:tblPr>
      <w:tblGrid>
        <w:gridCol w:w="9073"/>
        <w:tblGridChange w:id="0">
          <w:tblGrid>
            <w:gridCol w:w="9073"/>
          </w:tblGrid>
        </w:tblGridChange>
      </w:tblGrid>
      <w:tr>
        <w:trPr>
          <w:cantSplit w:val="0"/>
          <w:tblHeader w:val="0"/>
        </w:trPr>
        <w:tc>
          <w:tcPr/>
          <w:p w:rsidR="00000000" w:rsidDel="00000000" w:rsidP="00000000" w:rsidRDefault="00000000" w:rsidRPr="00000000" w14:paraId="00000012">
            <w:pPr>
              <w:jc w:val="center"/>
              <w:rPr/>
            </w:pPr>
            <w:r w:rsidDel="00000000" w:rsidR="00000000" w:rsidRPr="00000000">
              <w:rPr>
                <w:rtl w:val="0"/>
              </w:rPr>
              <w:t xml:space="preserve">_____________</w:t>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b w:val="1"/>
              </w:rPr>
            </w:pPr>
            <w:r w:rsidDel="00000000" w:rsidR="00000000" w:rsidRPr="00000000">
              <w:rPr>
                <w:rtl w:val="0"/>
              </w:rPr>
              <w:t xml:space="preserve">Relatore: </w:t>
            </w:r>
            <w:r w:rsidDel="00000000" w:rsidR="00000000" w:rsidRPr="00000000">
              <w:rPr>
                <w:b w:val="1"/>
                <w:rtl w:val="0"/>
              </w:rPr>
              <w:t xml:space="preserve">Gaetano ARMAO (IT/PPE)</w:t>
            </w:r>
          </w:p>
          <w:p w:rsidR="00000000" w:rsidDel="00000000" w:rsidP="00000000" w:rsidRDefault="00000000" w:rsidRPr="00000000" w14:paraId="00000015">
            <w:pPr>
              <w:jc w:val="center"/>
              <w:rPr>
                <w:b w:val="1"/>
              </w:rPr>
            </w:pPr>
            <w:r w:rsidDel="00000000" w:rsidR="00000000" w:rsidRPr="00000000">
              <w:rPr>
                <w:rtl w:val="0"/>
              </w:rPr>
              <w:t xml:space="preserve">vicepresidente e assessore della Regione Siciliana</w:t>
            </w:r>
            <w:r w:rsidDel="00000000" w:rsidR="00000000" w:rsidRPr="00000000">
              <w:rPr>
                <w:rtl w:val="0"/>
              </w:rPr>
            </w:r>
          </w:p>
          <w:p w:rsidR="00000000" w:rsidDel="00000000" w:rsidP="00000000" w:rsidRDefault="00000000" w:rsidRPr="00000000" w14:paraId="00000016">
            <w:pPr>
              <w:jc w:val="center"/>
              <w:rPr/>
            </w:pPr>
            <w:r w:rsidDel="00000000" w:rsidR="00000000" w:rsidRPr="00000000">
              <w:rPr>
                <w:rtl w:val="0"/>
              </w:rPr>
              <w:t xml:space="preserve">_____________</w:t>
            </w:r>
          </w:p>
        </w:tc>
      </w:tr>
    </w:tbl>
    <w:p w:rsidR="00000000" w:rsidDel="00000000" w:rsidP="00000000" w:rsidRDefault="00000000" w:rsidRPr="00000000" w14:paraId="00000017">
      <w:pPr>
        <w:jc w:val="left"/>
        <w:rPr/>
      </w:pPr>
      <w:r w:rsidDel="00000000" w:rsidR="00000000" w:rsidRPr="00000000">
        <w:rPr>
          <w:rtl w:val="0"/>
        </w:rPr>
      </w:r>
    </w:p>
    <w:p w:rsidR="00000000" w:rsidDel="00000000" w:rsidP="00000000" w:rsidRDefault="00000000" w:rsidRPr="00000000" w14:paraId="00000018">
      <w:pPr>
        <w:jc w:val="left"/>
        <w:rPr/>
      </w:pPr>
      <w:r w:rsidDel="00000000" w:rsidR="00000000" w:rsidRPr="00000000">
        <w:rPr>
          <w:rtl w:val="0"/>
        </w:rPr>
      </w:r>
    </w:p>
    <w:p w:rsidR="00000000" w:rsidDel="00000000" w:rsidP="00000000" w:rsidRDefault="00000000" w:rsidRPr="00000000" w14:paraId="00000019">
      <w:pPr>
        <w:jc w:val="left"/>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left"/>
        <w:rPr/>
      </w:pPr>
      <w:r w:rsidDel="00000000" w:rsidR="00000000" w:rsidRPr="00000000">
        <w:rPr>
          <w:rtl w:val="0"/>
        </w:rPr>
      </w:r>
    </w:p>
    <w:p w:rsidR="00000000" w:rsidDel="00000000" w:rsidP="00000000" w:rsidRDefault="00000000" w:rsidRPr="00000000" w14:paraId="0000001C">
      <w:pPr>
        <w:jc w:val="left"/>
        <w:rPr/>
      </w:pPr>
      <w:r w:rsidDel="00000000" w:rsidR="00000000" w:rsidRPr="00000000">
        <w:rPr>
          <w:rtl w:val="0"/>
        </w:rPr>
      </w:r>
    </w:p>
    <w:p w:rsidR="00000000" w:rsidDel="00000000" w:rsidP="00000000" w:rsidRDefault="00000000" w:rsidRPr="00000000" w14:paraId="0000001D">
      <w:pPr>
        <w:jc w:val="left"/>
        <w:rPr/>
      </w:pPr>
      <w:r w:rsidDel="00000000" w:rsidR="00000000" w:rsidRPr="00000000">
        <w:rPr>
          <w:rtl w:val="0"/>
        </w:rPr>
      </w:r>
    </w:p>
    <w:p w:rsidR="00000000" w:rsidDel="00000000" w:rsidP="00000000" w:rsidRDefault="00000000" w:rsidRPr="00000000" w14:paraId="0000001E">
      <w:pPr>
        <w:jc w:val="left"/>
        <w:rPr/>
      </w:pPr>
      <w:r w:rsidDel="00000000" w:rsidR="00000000" w:rsidRPr="00000000">
        <w:rPr>
          <w:rtl w:val="0"/>
        </w:rPr>
      </w:r>
    </w:p>
    <w:p w:rsidR="00000000" w:rsidDel="00000000" w:rsidP="00000000" w:rsidRDefault="00000000" w:rsidRPr="00000000" w14:paraId="0000001F">
      <w:pPr>
        <w:jc w:val="left"/>
        <w:rPr/>
      </w:pPr>
      <w:r w:rsidDel="00000000" w:rsidR="00000000" w:rsidRPr="00000000">
        <w:rPr>
          <w:rtl w:val="0"/>
        </w:rPr>
      </w:r>
    </w:p>
    <w:tbl>
      <w:tblPr>
        <w:tblStyle w:val="Table3"/>
        <w:tblW w:w="9289.0" w:type="dxa"/>
        <w:jc w:val="left"/>
        <w:tblInd w:w="0.0" w:type="dxa"/>
        <w:tblBorders>
          <w:top w:color="000000" w:space="0" w:sz="4" w:val="single"/>
          <w:left w:color="000000" w:space="0" w:sz="4" w:val="single"/>
          <w:bottom w:color="000000" w:space="0" w:sz="4" w:val="single"/>
          <w:right w:color="000000" w:space="0" w:sz="4" w:val="single"/>
        </w:tblBorders>
        <w:tblLayout w:type="fixed"/>
        <w:tblLook w:val="0000"/>
      </w:tblPr>
      <w:tblGrid>
        <w:gridCol w:w="9289"/>
        <w:tblGridChange w:id="0">
          <w:tblGrid>
            <w:gridCol w:w="9289"/>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20">
            <w:pPr>
              <w:rPr>
                <w:color w:val="000000"/>
              </w:rPr>
            </w:pPr>
            <w:r w:rsidDel="00000000" w:rsidR="00000000" w:rsidRPr="00000000">
              <w:rPr>
                <w:color w:val="000000"/>
                <w:rtl w:val="0"/>
              </w:rPr>
              <w:t xml:space="preserve">Il presente documento sarà discusso nella riunione della </w:t>
            </w:r>
            <w:r w:rsidDel="00000000" w:rsidR="00000000" w:rsidRPr="00000000">
              <w:rPr>
                <w:b w:val="1"/>
                <w:color w:val="000000"/>
                <w:rtl w:val="0"/>
              </w:rPr>
              <w:t xml:space="preserve">commissione Politica economica</w:t>
            </w:r>
            <w:r w:rsidDel="00000000" w:rsidR="00000000" w:rsidRPr="00000000">
              <w:rPr>
                <w:color w:val="000000"/>
                <w:rtl w:val="0"/>
              </w:rPr>
              <w:t xml:space="preserve"> che si terrà </w:t>
            </w:r>
            <w:r w:rsidDel="00000000" w:rsidR="00000000" w:rsidRPr="00000000">
              <w:rPr>
                <w:b w:val="1"/>
                <w:color w:val="000000"/>
                <w:rtl w:val="0"/>
              </w:rPr>
              <w:t xml:space="preserve">venerdì 8 luglio 2022 dalle ore 11:30 alle ore 18:15</w:t>
            </w:r>
            <w:r w:rsidDel="00000000" w:rsidR="00000000" w:rsidRPr="00000000">
              <w:rPr>
                <w:color w:val="000000"/>
                <w:rtl w:val="0"/>
              </w:rPr>
              <w:t xml:space="preserve">. </w:t>
            </w:r>
            <w:r w:rsidDel="00000000" w:rsidR="00000000" w:rsidRPr="00000000">
              <w:rPr>
                <w:rtl w:val="0"/>
              </w:rPr>
              <w:t xml:space="preserve">Per consentire la traduzione degli emendamenti nei termini richiesti, si prega di trasmetterli tramite l'apposito sistema online (accessibile dal Portale dei membri: </w:t>
            </w:r>
            <w:hyperlink r:id="rId9">
              <w:r w:rsidDel="00000000" w:rsidR="00000000" w:rsidRPr="00000000">
                <w:rPr>
                  <w:color w:val="0000ff"/>
                  <w:u w:val="single"/>
                  <w:rtl w:val="0"/>
                </w:rPr>
                <w:t xml:space="preserve">https://memportal.cor.europa.eu/</w:t>
              </w:r>
            </w:hyperlink>
            <w:r w:rsidDel="00000000" w:rsidR="00000000" w:rsidRPr="00000000">
              <w:rPr>
                <w:rtl w:val="0"/>
              </w:rPr>
              <w:t xml:space="preserve">) </w:t>
            </w:r>
            <w:r w:rsidDel="00000000" w:rsidR="00000000" w:rsidRPr="00000000">
              <w:rPr>
                <w:b w:val="1"/>
                <w:color w:val="000000"/>
                <w:rtl w:val="0"/>
              </w:rPr>
              <w:t xml:space="preserve">entro le ore 15:00</w:t>
            </w:r>
            <w:r w:rsidDel="00000000" w:rsidR="00000000" w:rsidRPr="00000000">
              <w:rPr>
                <w:color w:val="000000"/>
                <w:rtl w:val="0"/>
              </w:rPr>
              <w:t xml:space="preserve"> (ora di Bruxelles) </w:t>
            </w:r>
            <w:r w:rsidDel="00000000" w:rsidR="00000000" w:rsidRPr="00000000">
              <w:rPr>
                <w:b w:val="1"/>
                <w:color w:val="000000"/>
                <w:rtl w:val="0"/>
              </w:rPr>
              <w:t xml:space="preserve">di lunedì 27 giugno 2022</w:t>
            </w:r>
            <w:r w:rsidDel="00000000" w:rsidR="00000000" w:rsidRPr="00000000">
              <w:rPr>
                <w:rtl w:val="0"/>
              </w:rPr>
              <w:t xml:space="preserve">. Una guida all'uso di tale sistema è disponibile all'indirizzo </w:t>
            </w:r>
            <w:hyperlink r:id="rId10">
              <w:r w:rsidDel="00000000" w:rsidR="00000000" w:rsidRPr="00000000">
                <w:rPr>
                  <w:color w:val="0000ff"/>
                  <w:u w:val="single"/>
                  <w:rtl w:val="0"/>
                </w:rPr>
                <w:t xml:space="preserve">https://memportal.cor.europa.eu/</w:t>
              </w:r>
            </w:hyperlink>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-54106</wp:posOffset>
            </wp:positionH>
            <wp:positionV relativeFrom="paragraph">
              <wp:posOffset>0</wp:posOffset>
            </wp:positionV>
            <wp:extent cx="5759450" cy="29146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59450" cy="291465"/>
                    </a:xfrm>
                    <a:prstGeom prst="rect"/>
                    <a:ln/>
                  </pic:spPr>
                </pic:pic>
              </a:graphicData>
            </a:graphic>
          </wp:anchor>
        </w:drawing>
      </w:r>
    </w:p>
    <w:p w:rsidR="00000000" w:rsidDel="00000000" w:rsidP="00000000" w:rsidRDefault="00000000" w:rsidRPr="00000000" w14:paraId="00000022">
      <w:pPr>
        <w:rPr/>
        <w:sectPr>
          <w:headerReference r:id="rId12" w:type="default"/>
          <w:headerReference r:id="rId13" w:type="first"/>
          <w:headerReference r:id="rId14" w:type="even"/>
          <w:footerReference r:id="rId15" w:type="default"/>
          <w:footerReference r:id="rId16" w:type="first"/>
          <w:footerReference r:id="rId17" w:type="even"/>
          <w:pgSz w:h="16839" w:w="11907" w:orient="portrait"/>
          <w:pgMar w:bottom="1417" w:top="1417" w:left="1417" w:right="1417" w:header="709" w:footer="709"/>
          <w:pgNumType w:start="1"/>
        </w:sect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9289.0" w:type="dxa"/>
        <w:jc w:val="left"/>
        <w:tblInd w:w="0.0" w:type="dxa"/>
        <w:tblLayout w:type="fixed"/>
        <w:tblLook w:val="0000"/>
      </w:tblPr>
      <w:tblGrid>
        <w:gridCol w:w="9289"/>
        <w:tblGridChange w:id="0">
          <w:tblGrid>
            <w:gridCol w:w="9289"/>
          </w:tblGrid>
        </w:tblGridChange>
      </w:tblGrid>
      <w:tr>
        <w:trPr>
          <w:cantSplit w:val="0"/>
          <w:trHeight w:val="12474" w:hRule="atLeast"/>
          <w:tblHeader w:val="0"/>
        </w:trPr>
        <w:tc>
          <w:tcPr>
            <w:vAlign w:val="bottom"/>
          </w:tcPr>
          <w:p w:rsidR="00000000" w:rsidDel="00000000" w:rsidP="00000000" w:rsidRDefault="00000000" w:rsidRPr="00000000" w14:paraId="00000024">
            <w:pPr>
              <w:rPr>
                <w:u w:val="single"/>
              </w:rPr>
            </w:pPr>
            <w:r w:rsidDel="00000000" w:rsidR="00000000" w:rsidRPr="00000000">
              <w:rPr>
                <w:u w:val="single"/>
                <w:rtl w:val="0"/>
              </w:rPr>
              <w:t xml:space="preserve">Testo di riferimento</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N/P</w:t>
            </w:r>
          </w:p>
          <w:p w:rsidR="00000000" w:rsidDel="00000000" w:rsidP="00000000" w:rsidRDefault="00000000" w:rsidRPr="00000000" w14:paraId="00000027">
            <w:pPr>
              <w:rPr/>
            </w:pP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br w:type="page"/>
      </w:r>
      <w:r w:rsidDel="00000000" w:rsidR="00000000" w:rsidRPr="00000000">
        <w:rPr>
          <w:b w:val="1"/>
          <w:rtl w:val="0"/>
        </w:rPr>
        <w:t xml:space="preserve">Progetto di parere della commissione Politica economica – Coesione digitale</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IL COMITATO EUROPEO DELLE REGIONI</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i w:val="1"/>
        </w:rPr>
      </w:pPr>
      <w:r w:rsidDel="00000000" w:rsidR="00000000" w:rsidRPr="00000000">
        <w:rPr>
          <w:i w:val="1"/>
          <w:rtl w:val="0"/>
        </w:rPr>
        <w:t xml:space="preserve">Introduzione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1"/>
        <w:numPr>
          <w:ilvl w:val="0"/>
          <w:numId w:val="4"/>
        </w:numPr>
        <w:ind w:left="567" w:hanging="567"/>
        <w:rPr/>
      </w:pPr>
      <w:r w:rsidDel="00000000" w:rsidR="00000000" w:rsidRPr="00000000">
        <w:rPr>
          <w:rtl w:val="0"/>
        </w:rPr>
        <w:t xml:space="preserve">ribadisce fin dall'inizio che la coesione economica, sociale e territoriale è uno degli obiettivi principali indicati dal Trattato sul funzionamento dell'Unione europea (articolo 174) per realizzare proprio uno sviluppo armonioso ed equilibrato in tutta l'Unione europea (UE) e nelle sue regioni;</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1"/>
        <w:numPr>
          <w:ilvl w:val="0"/>
          <w:numId w:val="4"/>
        </w:numPr>
        <w:ind w:left="567" w:hanging="567"/>
        <w:rPr/>
      </w:pPr>
      <w:r w:rsidDel="00000000" w:rsidR="00000000" w:rsidRPr="00000000">
        <w:rPr>
          <w:rtl w:val="0"/>
        </w:rPr>
        <w:t xml:space="preserve">sottolinea che il concetto di "coesione digitale" implica il riconoscimento del ruolo essenziale rivestito dalla tecnologia nelle nostre vite e richiede l'integrazione degli obiettivi di coesione nei diritti, nei principi e nelle politiche digitali dell'Unione, con conseguente revisione dell'articolo 175 del TFUE;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numPr>
          <w:ilvl w:val="0"/>
          <w:numId w:val="4"/>
        </w:numPr>
        <w:ind w:left="567" w:hanging="567"/>
        <w:rPr/>
      </w:pPr>
      <w:r w:rsidDel="00000000" w:rsidR="00000000" w:rsidRPr="00000000">
        <w:rPr>
          <w:rtl w:val="0"/>
        </w:rPr>
        <w:t xml:space="preserve">rammenta che, nell'edizione 2021 del Barometro regionale e locale annuale dell'UE, il Comitato europeo delle regioni (CdR) ha messo in rilievo la coesione digitale quale elemento chiave per la creazione di società inclusive nell'UE sostenendo che "la coesione digitale" è un'importante dimensione aggiuntiva del tradizionale concetto di coesione economica, sociale e territoriale, sancito dal Trattato UE</w:t>
      </w:r>
      <w:r w:rsidDel="00000000" w:rsidR="00000000" w:rsidRPr="00000000">
        <w:rPr>
          <w:sz w:val="24"/>
          <w:szCs w:val="24"/>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1"/>
        <w:numPr>
          <w:ilvl w:val="0"/>
          <w:numId w:val="4"/>
        </w:numPr>
        <w:ind w:left="567" w:hanging="567"/>
        <w:rPr/>
      </w:pPr>
      <w:r w:rsidDel="00000000" w:rsidR="00000000" w:rsidRPr="00000000">
        <w:rPr>
          <w:rtl w:val="0"/>
        </w:rPr>
        <w:t xml:space="preserve">ricorda che il concetto di coesione digitale e i contributi richiesti per realizzarla concretamente, così come illustrati in un importante studio prospettico del Comitato delle regioni di recente pubblicazione</w:t>
      </w:r>
      <w:r w:rsidDel="00000000" w:rsidR="00000000" w:rsidRPr="00000000">
        <w:rPr>
          <w:vertAlign w:val="superscript"/>
        </w:rPr>
        <w:footnoteReference w:customMarkFollows="0" w:id="1"/>
      </w:r>
      <w:r w:rsidDel="00000000" w:rsidR="00000000" w:rsidRPr="00000000">
        <w:rPr>
          <w:rtl w:val="0"/>
        </w:rPr>
        <w:t xml:space="preserve">, implicano che ogni cittadino in Europa abbia un accesso adeguato a Internet e ai servizi digitali e che la sovranità e la resilienza delle infrastrutture digitali dell'UE siano rafforzate;</w:t>
      </w:r>
    </w:p>
    <w:p w:rsidR="00000000" w:rsidDel="00000000" w:rsidP="00000000" w:rsidRDefault="00000000" w:rsidRPr="00000000" w14:paraId="00000036">
      <w:pPr>
        <w:pStyle w:val="Heading1"/>
        <w:ind w:left="567" w:firstLine="0"/>
        <w:rPr/>
      </w:pPr>
      <w:r w:rsidDel="00000000" w:rsidR="00000000" w:rsidRPr="00000000">
        <w:rPr>
          <w:rtl w:val="0"/>
        </w:rPr>
      </w:r>
    </w:p>
    <w:p w:rsidR="00000000" w:rsidDel="00000000" w:rsidP="00000000" w:rsidRDefault="00000000" w:rsidRPr="00000000" w14:paraId="00000037">
      <w:pPr>
        <w:pStyle w:val="Heading1"/>
        <w:numPr>
          <w:ilvl w:val="0"/>
          <w:numId w:val="4"/>
        </w:numPr>
        <w:ind w:left="567" w:hanging="567"/>
        <w:rPr/>
      </w:pPr>
      <w:r w:rsidDel="00000000" w:rsidR="00000000" w:rsidRPr="00000000">
        <w:rPr>
          <w:rtl w:val="0"/>
        </w:rPr>
        <w:t xml:space="preserve">sottolinea che l'UE deve prestare particolare attenzione a sostenere le regioni meno sviluppate - in particolare quelle insulari, transfrontaliere e di montagna - al fine di accelerarne la trasformazione digitale, alla luce delle sfide specifiche che sono chiamate ad affrontare assicurando nel contempo un impiego ottimale delle loro risorse, e ricorda l'importanza della collaborazione tra pari;</w:t>
      </w:r>
    </w:p>
    <w:p w:rsidR="00000000" w:rsidDel="00000000" w:rsidP="00000000" w:rsidRDefault="00000000" w:rsidRPr="00000000" w14:paraId="00000038">
      <w:pPr>
        <w:pStyle w:val="Heading1"/>
        <w:ind w:left="567" w:firstLine="0"/>
        <w:rPr/>
      </w:pPr>
      <w:r w:rsidDel="00000000" w:rsidR="00000000" w:rsidRPr="00000000">
        <w:rPr>
          <w:rtl w:val="0"/>
        </w:rPr>
      </w:r>
    </w:p>
    <w:p w:rsidR="00000000" w:rsidDel="00000000" w:rsidP="00000000" w:rsidRDefault="00000000" w:rsidRPr="00000000" w14:paraId="00000039">
      <w:pPr>
        <w:pStyle w:val="Heading1"/>
        <w:numPr>
          <w:ilvl w:val="0"/>
          <w:numId w:val="4"/>
        </w:numPr>
        <w:ind w:left="567" w:hanging="567"/>
        <w:rPr/>
      </w:pPr>
      <w:r w:rsidDel="00000000" w:rsidR="00000000" w:rsidRPr="00000000">
        <w:rPr>
          <w:rtl w:val="0"/>
        </w:rPr>
        <w:t xml:space="preserve">riconosce che, per quanto la tecnologia rappresenti uno strumento fondamentale che aiuta ad adattarsi alle situazioni complesse che riguardano tutti gli aspetti della società, il ruolo preminente delle tecnologie digitali nel reagire alla pandemia di COVID-19 e nel rafforzare la resilienza a questo tipo di situazioni ha evidenziato le carenze a livello di infrastrutture e alfabetizzazione digitali, con l'effetto di aggravare in misura anche maggiore il divario digitale già esistente nell'UE.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keepNext w:val="1"/>
        <w:keepLines w:val="1"/>
        <w:rPr>
          <w:i w:val="1"/>
        </w:rPr>
      </w:pPr>
      <w:r w:rsidDel="00000000" w:rsidR="00000000" w:rsidRPr="00000000">
        <w:rPr>
          <w:i w:val="1"/>
          <w:rtl w:val="0"/>
        </w:rPr>
        <w:t xml:space="preserve">Sfide da affrontare</w:t>
      </w:r>
    </w:p>
    <w:p w:rsidR="00000000" w:rsidDel="00000000" w:rsidP="00000000" w:rsidRDefault="00000000" w:rsidRPr="00000000" w14:paraId="0000003C">
      <w:pPr>
        <w:keepNext w:val="1"/>
        <w:keepLines w:val="1"/>
        <w:rPr/>
      </w:pPr>
      <w:r w:rsidDel="00000000" w:rsidR="00000000" w:rsidRPr="00000000">
        <w:rPr>
          <w:rtl w:val="0"/>
        </w:rPr>
      </w:r>
    </w:p>
    <w:p w:rsidR="00000000" w:rsidDel="00000000" w:rsidP="00000000" w:rsidRDefault="00000000" w:rsidRPr="00000000" w14:paraId="0000003D">
      <w:pPr>
        <w:pStyle w:val="Heading1"/>
        <w:numPr>
          <w:ilvl w:val="0"/>
          <w:numId w:val="4"/>
        </w:numPr>
        <w:ind w:left="567" w:hanging="567"/>
        <w:rPr/>
      </w:pPr>
      <w:r w:rsidDel="00000000" w:rsidR="00000000" w:rsidRPr="00000000">
        <w:rPr>
          <w:rtl w:val="0"/>
        </w:rPr>
        <w:t xml:space="preserve">rammenta che il termine "divario digitale" si riferisce alle differenze nel livello di accesso e di uso delle tecnologie dell'informazione e della comunicazione e, più specificamente, alle lacune nell'accesso e nell'uso dei servizi digitali basati su Internet</w:t>
      </w:r>
      <w:r w:rsidDel="00000000" w:rsidR="00000000" w:rsidRPr="00000000">
        <w:rPr>
          <w:vertAlign w:val="superscript"/>
        </w:rPr>
        <w:footnoteReference w:customMarkFollows="0" w:id="2"/>
      </w:r>
      <w:r w:rsidDel="00000000" w:rsidR="00000000" w:rsidRPr="00000000">
        <w:rPr>
          <w:rtl w:val="0"/>
        </w:rPr>
        <w:t xml:space="preserve">;</w:t>
      </w:r>
    </w:p>
    <w:p w:rsidR="00000000" w:rsidDel="00000000" w:rsidP="00000000" w:rsidRDefault="00000000" w:rsidRPr="00000000" w14:paraId="0000003E">
      <w:pPr>
        <w:pStyle w:val="Heading1"/>
        <w:ind w:left="567" w:firstLine="0"/>
        <w:rPr/>
      </w:pPr>
      <w:r w:rsidDel="00000000" w:rsidR="00000000" w:rsidRPr="00000000">
        <w:rPr>
          <w:rtl w:val="0"/>
        </w:rPr>
      </w:r>
    </w:p>
    <w:p w:rsidR="00000000" w:rsidDel="00000000" w:rsidP="00000000" w:rsidRDefault="00000000" w:rsidRPr="00000000" w14:paraId="0000003F">
      <w:pPr>
        <w:pStyle w:val="Heading1"/>
        <w:numPr>
          <w:ilvl w:val="0"/>
          <w:numId w:val="4"/>
        </w:numPr>
        <w:ind w:left="567" w:hanging="567"/>
        <w:rPr/>
      </w:pPr>
      <w:r w:rsidDel="00000000" w:rsidR="00000000" w:rsidRPr="00000000">
        <w:rPr>
          <w:rtl w:val="0"/>
        </w:rPr>
        <w:t xml:space="preserve">sottolinea che la coesione digitale deve affrontare le cause alla base del crescente divario digitale nell'Unione e le sfide incontrate dalle regioni che, pur adoperandosi per colmare detto divario, sono tuttavia ancora in ritardo, anche se l'ampliamento del divario digitale non è ufficialmente riconosciuto come un pericolo per la coesione dell'UE;</w:t>
      </w:r>
    </w:p>
    <w:p w:rsidR="00000000" w:rsidDel="00000000" w:rsidP="00000000" w:rsidRDefault="00000000" w:rsidRPr="00000000" w14:paraId="00000040">
      <w:pPr>
        <w:pStyle w:val="Heading1"/>
        <w:ind w:left="567" w:firstLine="0"/>
        <w:rPr/>
      </w:pPr>
      <w:r w:rsidDel="00000000" w:rsidR="00000000" w:rsidRPr="00000000">
        <w:rPr>
          <w:rtl w:val="0"/>
        </w:rPr>
      </w:r>
    </w:p>
    <w:p w:rsidR="00000000" w:rsidDel="00000000" w:rsidP="00000000" w:rsidRDefault="00000000" w:rsidRPr="00000000" w14:paraId="00000041">
      <w:pPr>
        <w:pStyle w:val="Heading1"/>
        <w:numPr>
          <w:ilvl w:val="0"/>
          <w:numId w:val="4"/>
        </w:numPr>
        <w:ind w:left="567" w:hanging="567"/>
        <w:rPr/>
      </w:pPr>
      <w:r w:rsidDel="00000000" w:rsidR="00000000" w:rsidRPr="00000000">
        <w:rPr>
          <w:rtl w:val="0"/>
        </w:rPr>
        <w:t xml:space="preserve">osserva che le isole</w:t>
      </w:r>
      <w:r w:rsidDel="00000000" w:rsidR="00000000" w:rsidRPr="00000000">
        <w:rPr>
          <w:vertAlign w:val="superscript"/>
        </w:rPr>
        <w:footnoteReference w:customMarkFollows="0" w:id="3"/>
      </w:r>
      <w:r w:rsidDel="00000000" w:rsidR="00000000" w:rsidRPr="00000000">
        <w:rPr>
          <w:rtl w:val="0"/>
        </w:rPr>
        <w:t xml:space="preserve"> hanno caratteristiche geografiche, economiche, demografiche e sociali specifiche che pongono problematiche particolari nel contesto dell'attuazione delle politiche europee. Tali caratteristiche includono le dimensioni ridotte (in termini di superficie, popolazione, economia), il mercato locale limitato e la difficoltà a realizzare economie di scala, i costi elevati dei trasporti, le relazioni interindustriali scarsamente sviluppate, le carenze in termini di capacità imprenditoriali, infrastrutture e fornitura di servizi per le imprese (rispetto alle regioni continentali), nonché i limitati servizi sociali e di formazione offerti ai cittadini. Negli ultimi tempi, le isole (in particolare nel Mediterraneo) soffrono a causa di massicci flussi migratori, e tali elementi sono ancor più gravi nei territori le cui difficoltà sono amplificate dalla doppia o tripla insularità, come illustrato di recente dalla relazione del Parlamento europeo sulle isole dell'UE e la politica di coesione: situazione attuale e sfide future</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042">
      <w:pPr>
        <w:pStyle w:val="Heading1"/>
        <w:ind w:left="567" w:firstLine="0"/>
        <w:rPr/>
      </w:pPr>
      <w:r w:rsidDel="00000000" w:rsidR="00000000" w:rsidRPr="00000000">
        <w:rPr>
          <w:rtl w:val="0"/>
        </w:rPr>
      </w:r>
    </w:p>
    <w:p w:rsidR="00000000" w:rsidDel="00000000" w:rsidP="00000000" w:rsidRDefault="00000000" w:rsidRPr="00000000" w14:paraId="00000043">
      <w:pPr>
        <w:pStyle w:val="Heading1"/>
        <w:numPr>
          <w:ilvl w:val="0"/>
          <w:numId w:val="4"/>
        </w:numPr>
        <w:ind w:left="567" w:hanging="567"/>
        <w:rPr/>
      </w:pPr>
      <w:r w:rsidDel="00000000" w:rsidR="00000000" w:rsidRPr="00000000">
        <w:rPr>
          <w:rtl w:val="0"/>
        </w:rPr>
        <w:t xml:space="preserve">evidenzia i </w:t>
      </w:r>
      <w:r w:rsidDel="00000000" w:rsidR="00000000" w:rsidRPr="00000000">
        <w:rPr>
          <w:b w:val="1"/>
          <w:rtl w:val="0"/>
        </w:rPr>
        <w:t xml:space="preserve">costi dell'insularità</w:t>
      </w:r>
      <w:r w:rsidDel="00000000" w:rsidR="00000000" w:rsidRPr="00000000">
        <w:rPr>
          <w:vertAlign w:val="superscript"/>
        </w:rPr>
        <w:footnoteReference w:customMarkFollows="0" w:id="5"/>
      </w:r>
      <w:r w:rsidDel="00000000" w:rsidR="00000000" w:rsidRPr="00000000">
        <w:rPr>
          <w:rtl w:val="0"/>
        </w:rPr>
        <w:t xml:space="preserve"> stimati tra 6,04 e 6,54 miliardi di EUR l'anno per la Regione Siciliana, un valore compreso tra il 6,8 e il 7,4 % del PIL regionale. Tali costi rappresentano una sorta di "imposta occulta" quantificabile in circa 1 300 EUR a persona per ciascun cittadino siciliano;</w:t>
      </w:r>
    </w:p>
    <w:p w:rsidR="00000000" w:rsidDel="00000000" w:rsidP="00000000" w:rsidRDefault="00000000" w:rsidRPr="00000000" w14:paraId="00000044">
      <w:pPr>
        <w:pStyle w:val="Heading1"/>
        <w:ind w:left="567" w:firstLine="0"/>
        <w:rPr/>
      </w:pPr>
      <w:r w:rsidDel="00000000" w:rsidR="00000000" w:rsidRPr="00000000">
        <w:rPr>
          <w:rtl w:val="0"/>
        </w:rPr>
      </w:r>
    </w:p>
    <w:p w:rsidR="00000000" w:rsidDel="00000000" w:rsidP="00000000" w:rsidRDefault="00000000" w:rsidRPr="00000000" w14:paraId="00000045">
      <w:pPr>
        <w:pStyle w:val="Heading1"/>
        <w:numPr>
          <w:ilvl w:val="0"/>
          <w:numId w:val="4"/>
        </w:numPr>
        <w:ind w:left="567" w:hanging="567"/>
        <w:rPr/>
      </w:pPr>
      <w:r w:rsidDel="00000000" w:rsidR="00000000" w:rsidRPr="00000000">
        <w:rPr>
          <w:rtl w:val="0"/>
        </w:rPr>
        <w:t xml:space="preserve">esprime preoccupazione per il fatto che le attuali lacune digitali non si stiano riducendo, bensì in effetti stiano crescendo in rapporto alle seguenti componenti chiave della trasformazione digitale nell'UE</w:t>
      </w:r>
      <w:r w:rsidDel="00000000" w:rsidR="00000000" w:rsidRPr="00000000">
        <w:rPr>
          <w:sz w:val="24"/>
          <w:szCs w:val="24"/>
          <w:vertAlign w:val="superscript"/>
        </w:rPr>
        <w:footnoteReference w:customMarkFollows="0" w:id="6"/>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426"/>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dati sul livello delle competenze digitali basilari non sono disponibili a livello locale e regionale. È stato invece utilizzato un indicatore indiretto della capacità delle singole persone di utilizzare Internet quotidianamente. Sebbene in alcuni Stati membri della parte occidentale dell'UE (DE, SE, NL, BE) il divario digitale tra zone urbane e rurali si stia colmando in termini di competenze digitali, tale divario è ancora significativo in tutti gli altri Stati membri;</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426"/>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nel settore della connettività e delle infrastrutture digitali, le zone rurali sono ancora in ritardo per quanto riguarda la fornitura di reti d'accesso di prossima generazione (NGA) e la fornitura generale alle utenze domestiche di reti ad alta capacità;</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426"/>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trasformazione digitale delle imprese è misurata in base al numero di imprese "unicorno" (start-up con un valore di mercato totale superiore a 1 miliardo di dollari USA) situate nell'UE, e da questa misurazione emerge che esse sono perlopiù concentrate nella parte continentale dell'Europa e nelle regioni delle capitali;</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426"/>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 2019 al 2020, per quel che riguarda la digitalizzazione dei servizi pubblici, è cresciuto il divario tra i cittadini che vivono;</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numPr>
          <w:ilvl w:val="0"/>
          <w:numId w:val="4"/>
        </w:numPr>
        <w:ind w:left="567" w:hanging="567"/>
        <w:rPr/>
      </w:pPr>
      <w:r w:rsidDel="00000000" w:rsidR="00000000" w:rsidRPr="00000000">
        <w:rPr>
          <w:rtl w:val="0"/>
        </w:rPr>
        <w:t xml:space="preserve">osserva che l'ambito di applicazione delle misure da adottare per colmare il divario digitale si estende a diversi settori strategici, il che significa che la coesione digitale rappresenta un impegno da perseguire a livello orizzontale. Accoglie pertanto con favore il fatto che la Conferenza sul futuro dell'Europa abbia riconosciuto che la coesione digitale è complementare alla coesione economica, sociale e territoriale</w:t>
      </w:r>
      <w:r w:rsidDel="00000000" w:rsidR="00000000" w:rsidRPr="00000000">
        <w:rPr>
          <w:vertAlign w:val="superscript"/>
        </w:rPr>
        <w:footnoteReference w:customMarkFollows="0" w:id="7"/>
      </w:r>
      <w:r w:rsidDel="00000000" w:rsidR="00000000" w:rsidRPr="00000000">
        <w:rPr>
          <w:rtl w:val="0"/>
        </w:rPr>
        <w:t xml:space="preserve">;</w:t>
      </w:r>
    </w:p>
    <w:p w:rsidR="00000000" w:rsidDel="00000000" w:rsidP="00000000" w:rsidRDefault="00000000" w:rsidRPr="00000000" w14:paraId="0000004D">
      <w:pPr>
        <w:pStyle w:val="Heading1"/>
        <w:ind w:left="567" w:firstLine="0"/>
        <w:rPr/>
      </w:pPr>
      <w:r w:rsidDel="00000000" w:rsidR="00000000" w:rsidRPr="00000000">
        <w:rPr>
          <w:rtl w:val="0"/>
        </w:rPr>
      </w:r>
    </w:p>
    <w:p w:rsidR="00000000" w:rsidDel="00000000" w:rsidP="00000000" w:rsidRDefault="00000000" w:rsidRPr="00000000" w14:paraId="0000004E">
      <w:pPr>
        <w:pStyle w:val="Heading1"/>
        <w:numPr>
          <w:ilvl w:val="0"/>
          <w:numId w:val="4"/>
        </w:numPr>
        <w:ind w:left="567" w:hanging="567"/>
        <w:rPr/>
      </w:pPr>
      <w:r w:rsidDel="00000000" w:rsidR="00000000" w:rsidRPr="00000000">
        <w:rPr>
          <w:rtl w:val="0"/>
        </w:rPr>
        <w:t xml:space="preserve">sottolinea che il divario digitale incide sui servizi offerti a livello locale nei seguenti ambiti:</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assistenza sanitaria: mancanza di accesso ai servizi di sanità digitale; minore consapevolezza e maggiore esposizione alla COVID-19 e alle eventuali pandemie future per le persone che non beneficiano di connessione;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istruzione: accesso disomogeneo alle risorse didattiche; battuta d'arresto nel processo d'istruzione; difficoltà degli studenti nell'ottenere sostegno tecnologico nel proprio contesto familiare;</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altri servizi chiave: aumento dell'esclusione finanziaria a causa della transizione verso una società senza contanti; la popolazione senza connessione ha un accesso limitato ai benefici pubblici a causa dell'esistenza di servizi unicamente digitali; condizioni socioeconomiche: aggravamento delle disparità socioeconomiche tra quanti hanno potuto lavorare a distanza con strumenti digitali e coloro che non hanno avuto tale possibilità;</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aumento dell'esclusione sociale: il divario digitale potrebbe impedire alle persone di partecipare a iniziative sociali che si svolgono online e di esercitare i propri diritti politici;</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1"/>
        <w:numPr>
          <w:ilvl w:val="0"/>
          <w:numId w:val="4"/>
        </w:numPr>
        <w:ind w:left="567" w:hanging="567"/>
        <w:rPr/>
      </w:pPr>
      <w:r w:rsidDel="00000000" w:rsidR="00000000" w:rsidRPr="00000000">
        <w:rPr>
          <w:rtl w:val="0"/>
        </w:rPr>
        <w:t xml:space="preserve">considera deplorevole che l'inclusione di un principio sulla coesione digitale per garantire che nessuna regione o persona sia lasciata indietro in termini di connettività e accessibilità non sia stata formalizzata nella proposta della Commissione europea per una dichiarazione europea sui diritti e i principi digitali nel decennio digitale</w:t>
      </w:r>
      <w:r w:rsidDel="00000000" w:rsidR="00000000" w:rsidRPr="00000000">
        <w:rPr>
          <w:vertAlign w:val="superscript"/>
        </w:rPr>
        <w:footnoteReference w:customMarkFollows="0" w:id="8"/>
      </w:r>
      <w:r w:rsidDel="00000000" w:rsidR="00000000" w:rsidRPr="00000000">
        <w:rPr>
          <w:rtl w:val="0"/>
        </w:rPr>
        <w:t xml:space="preserve">;</w:t>
      </w:r>
    </w:p>
    <w:p w:rsidR="00000000" w:rsidDel="00000000" w:rsidP="00000000" w:rsidRDefault="00000000" w:rsidRPr="00000000" w14:paraId="00000055">
      <w:pPr>
        <w:pStyle w:val="Heading1"/>
        <w:ind w:left="567" w:firstLine="0"/>
        <w:rPr/>
      </w:pPr>
      <w:r w:rsidDel="00000000" w:rsidR="00000000" w:rsidRPr="00000000">
        <w:rPr>
          <w:rtl w:val="0"/>
        </w:rPr>
      </w:r>
    </w:p>
    <w:p w:rsidR="00000000" w:rsidDel="00000000" w:rsidP="00000000" w:rsidRDefault="00000000" w:rsidRPr="00000000" w14:paraId="00000056">
      <w:pPr>
        <w:pStyle w:val="Heading1"/>
        <w:numPr>
          <w:ilvl w:val="0"/>
          <w:numId w:val="4"/>
        </w:numPr>
        <w:ind w:left="567" w:hanging="567"/>
        <w:rPr/>
      </w:pPr>
      <w:r w:rsidDel="00000000" w:rsidR="00000000" w:rsidRPr="00000000">
        <w:rPr>
          <w:rtl w:val="0"/>
        </w:rPr>
        <w:t xml:space="preserve">raccomanda pertanto vivamente che la sfida della coesione digitale sia inclusa nel processo di riflessione sulla futura evoluzione della politica di coesione;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1"/>
        <w:numPr>
          <w:ilvl w:val="0"/>
          <w:numId w:val="4"/>
        </w:numPr>
        <w:ind w:left="567" w:hanging="567"/>
        <w:rPr/>
      </w:pPr>
      <w:r w:rsidDel="00000000" w:rsidR="00000000" w:rsidRPr="00000000">
        <w:rPr>
          <w:rtl w:val="0"/>
        </w:rPr>
        <w:t xml:space="preserve">accoglie con favore le azioni mirate, come la recente modifica del regolamento generale di esenzione per categoria, recante modifica delle disposizioni riguardanti la concessione di aiuti di Stato a sostegno delle reti fisse a banda larga, e la revisione in corso degli orientamenti relativi alla banda larga. Il CdR invita comunque a fare chiarezza sull'applicazione delle norme riguardanti gli aiuti di Stato per le infrastrutture digitali e di semplificarle ulteriormente</w:t>
      </w:r>
      <w:r w:rsidDel="00000000" w:rsidR="00000000" w:rsidRPr="00000000">
        <w:rPr>
          <w:sz w:val="24"/>
          <w:szCs w:val="24"/>
          <w:vertAlign w:val="superscript"/>
        </w:rPr>
        <w:footnoteReference w:customMarkFollows="0" w:id="9"/>
      </w:r>
      <w:r w:rsidDel="00000000" w:rsidR="00000000" w:rsidRPr="00000000">
        <w:rPr>
          <w:rtl w:val="0"/>
        </w:rPr>
        <w:t xml:space="preserv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1"/>
        <w:keepLines w:val="1"/>
        <w:rPr>
          <w:i w:val="1"/>
        </w:rPr>
      </w:pPr>
      <w:r w:rsidDel="00000000" w:rsidR="00000000" w:rsidRPr="00000000">
        <w:rPr>
          <w:i w:val="1"/>
          <w:rtl w:val="0"/>
        </w:rPr>
        <w:t xml:space="preserve">Realizzare la coesione digitale</w:t>
      </w:r>
    </w:p>
    <w:p w:rsidR="00000000" w:rsidDel="00000000" w:rsidP="00000000" w:rsidRDefault="00000000" w:rsidRPr="00000000" w14:paraId="0000005B">
      <w:pPr>
        <w:keepNext w:val="1"/>
        <w:keepLines w:val="1"/>
        <w:rPr/>
      </w:pPr>
      <w:r w:rsidDel="00000000" w:rsidR="00000000" w:rsidRPr="00000000">
        <w:rPr>
          <w:rtl w:val="0"/>
        </w:rPr>
      </w:r>
    </w:p>
    <w:p w:rsidR="00000000" w:rsidDel="00000000" w:rsidP="00000000" w:rsidRDefault="00000000" w:rsidRPr="00000000" w14:paraId="0000005C">
      <w:pPr>
        <w:pStyle w:val="Heading1"/>
        <w:numPr>
          <w:ilvl w:val="0"/>
          <w:numId w:val="4"/>
        </w:numPr>
        <w:ind w:left="567" w:hanging="567"/>
        <w:rPr/>
      </w:pPr>
      <w:r w:rsidDel="00000000" w:rsidR="00000000" w:rsidRPr="00000000">
        <w:rPr>
          <w:rtl w:val="0"/>
        </w:rPr>
        <w:t xml:space="preserve">osserva che le competenze e infrastrutture digitali sono essenziali per lo sviluppo di tutte le altre dimensioni della bussola per il digitale, e raccomanda pertanto alla Commissione europea di adottare e utilizzare un'apposita strategia a lungo termine, risorse e meccanismi di coordinamento, facendo leva su progetti su vasta scala basati sulla cooperazione tra gli Stati membri, al fine di garantire che ciascun cittadino abbia competenze e infrastrutture digitali aggiornate;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1"/>
        <w:numPr>
          <w:ilvl w:val="0"/>
          <w:numId w:val="4"/>
        </w:numPr>
        <w:ind w:left="567" w:hanging="567"/>
        <w:rPr/>
      </w:pPr>
      <w:r w:rsidDel="00000000" w:rsidR="00000000" w:rsidRPr="00000000">
        <w:rPr>
          <w:rtl w:val="0"/>
        </w:rPr>
        <w:t xml:space="preserve">raccomanda di includere competenze digitali adeguate nel programma di apprendimento lungo tutto l'arco della vita, in modo da consentire a tutti i cittadini europei di beneficiare del diritto generale di accedere a Internet. Andrebbe altresì considerata l'introduzione di un certificato europeo per le competenze digitali;</w:t>
      </w:r>
    </w:p>
    <w:p w:rsidR="00000000" w:rsidDel="00000000" w:rsidP="00000000" w:rsidRDefault="00000000" w:rsidRPr="00000000" w14:paraId="0000005F">
      <w:pPr>
        <w:pStyle w:val="Heading1"/>
        <w:ind w:left="567" w:firstLine="0"/>
        <w:rPr/>
      </w:pPr>
      <w:r w:rsidDel="00000000" w:rsidR="00000000" w:rsidRPr="00000000">
        <w:rPr>
          <w:rtl w:val="0"/>
        </w:rPr>
      </w:r>
    </w:p>
    <w:p w:rsidR="00000000" w:rsidDel="00000000" w:rsidP="00000000" w:rsidRDefault="00000000" w:rsidRPr="00000000" w14:paraId="00000060">
      <w:pPr>
        <w:pStyle w:val="Heading1"/>
        <w:numPr>
          <w:ilvl w:val="0"/>
          <w:numId w:val="4"/>
        </w:numPr>
        <w:ind w:left="567" w:hanging="567"/>
        <w:rPr/>
      </w:pPr>
      <w:r w:rsidDel="00000000" w:rsidR="00000000" w:rsidRPr="00000000">
        <w:rPr>
          <w:rtl w:val="0"/>
        </w:rPr>
        <w:t xml:space="preserve">invita la Commissione ad attuare - quale seguito dato alla dichiarazione europea sui diritti e i principi digitali pubblicata di recente - un quadro completo, atti giuridici e strumenti volti a far rispettare i diritti digitali europei e a promuovere una cooperazione più stretta con i cittadini europei, al fine di garantire che i principi digitali siano condivisi e siano in linea con le esigenze della società. Andrebbe in effetti prevista una revisione della Carta dei diritti fondamentali dell'Unione europea promulgata nel 2000, affinché tenga conto dei diritti digitali di recente sanciti;</w:t>
      </w:r>
    </w:p>
    <w:p w:rsidR="00000000" w:rsidDel="00000000" w:rsidP="00000000" w:rsidRDefault="00000000" w:rsidRPr="00000000" w14:paraId="00000061">
      <w:pPr>
        <w:pStyle w:val="Heading1"/>
        <w:ind w:left="567" w:firstLine="0"/>
        <w:rPr/>
      </w:pPr>
      <w:r w:rsidDel="00000000" w:rsidR="00000000" w:rsidRPr="00000000">
        <w:rPr>
          <w:rtl w:val="0"/>
        </w:rPr>
      </w:r>
    </w:p>
    <w:p w:rsidR="00000000" w:rsidDel="00000000" w:rsidP="00000000" w:rsidRDefault="00000000" w:rsidRPr="00000000" w14:paraId="00000062">
      <w:pPr>
        <w:pStyle w:val="Heading1"/>
        <w:numPr>
          <w:ilvl w:val="0"/>
          <w:numId w:val="4"/>
        </w:numPr>
        <w:ind w:left="567" w:hanging="567"/>
        <w:rPr/>
      </w:pPr>
      <w:r w:rsidDel="00000000" w:rsidR="00000000" w:rsidRPr="00000000">
        <w:rPr>
          <w:rtl w:val="0"/>
        </w:rPr>
        <w:t xml:space="preserve">accoglie con favore le raccomandazioni avanzate dalla Conferenza sul futuro dell'Europa, in particolare in relazione alla parità di accesso a Internet quale diritto fondamentale di ogni cittadino europeo. A tale riguardo, è fondamentale avere un accesso affidabile a Internet e ai servizi digitali attraverso infrastrutture digitali europee sovrane e resilienti. È opportuno adottare misure tese a garantire una concorrenza leale e aperta e a prevenire i monopoli e l'abuso generalizzato del proprio potere di mercato, il blocco da fornitore, la concentrazione dei dati e la dipendenza da paesi terzi in relazione a infrastrutture e servizi;</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1"/>
        <w:numPr>
          <w:ilvl w:val="0"/>
          <w:numId w:val="4"/>
        </w:numPr>
        <w:ind w:left="567" w:hanging="567"/>
        <w:rPr/>
      </w:pPr>
      <w:r w:rsidDel="00000000" w:rsidR="00000000" w:rsidRPr="00000000">
        <w:rPr>
          <w:rtl w:val="0"/>
        </w:rPr>
        <w:t xml:space="preserve">suggerisce, in linea con la raccomandazione formulata nelle raccomandazioni specifiche per le autorità nazionali di regolamentazione dall'Organismo dei regolatori europei delle comunicazioni elettroniche</w:t>
      </w:r>
      <w:r w:rsidDel="00000000" w:rsidR="00000000" w:rsidRPr="00000000">
        <w:rPr>
          <w:vertAlign w:val="superscript"/>
        </w:rPr>
        <w:footnoteReference w:customMarkFollows="0" w:id="10"/>
      </w:r>
      <w:r w:rsidDel="00000000" w:rsidR="00000000" w:rsidRPr="00000000">
        <w:rPr>
          <w:rtl w:val="0"/>
        </w:rPr>
        <w:t xml:space="preserve">, di promuovere la condivisione delle infrastrutture (tra gli operatori di telecomunicazioni e altri fornitori di servizi come le società elettriche, le ferrovie, ecc.) per ridurre i costi dell'installazione delle reti a banda larga nelle zone periferiche;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1"/>
        <w:numPr>
          <w:ilvl w:val="0"/>
          <w:numId w:val="4"/>
        </w:numPr>
        <w:ind w:left="567" w:hanging="567"/>
        <w:rPr/>
      </w:pPr>
      <w:r w:rsidDel="00000000" w:rsidR="00000000" w:rsidRPr="00000000">
        <w:rPr>
          <w:rtl w:val="0"/>
        </w:rPr>
        <w:t xml:space="preserve">accoglie con favore la positiva esperienza del partenariato pubblico-privato della provincia olandese dell'Overijssel, in cui la rete a fibra ottica è diffusa in modo capillare, e sottolinea l'importante ruolo svolto dai poli digitali regionali per la diffusione della digitalizzazione;</w:t>
      </w:r>
    </w:p>
    <w:p w:rsidR="00000000" w:rsidDel="00000000" w:rsidP="00000000" w:rsidRDefault="00000000" w:rsidRPr="00000000" w14:paraId="00000067">
      <w:pPr>
        <w:pStyle w:val="Heading1"/>
        <w:ind w:left="567" w:firstLine="0"/>
        <w:rPr/>
      </w:pPr>
      <w:r w:rsidDel="00000000" w:rsidR="00000000" w:rsidRPr="00000000">
        <w:rPr>
          <w:rtl w:val="0"/>
        </w:rPr>
      </w:r>
    </w:p>
    <w:p w:rsidR="00000000" w:rsidDel="00000000" w:rsidP="00000000" w:rsidRDefault="00000000" w:rsidRPr="00000000" w14:paraId="00000068">
      <w:pPr>
        <w:pStyle w:val="Heading1"/>
        <w:numPr>
          <w:ilvl w:val="0"/>
          <w:numId w:val="4"/>
        </w:numPr>
        <w:ind w:left="567" w:hanging="567"/>
        <w:rPr/>
      </w:pPr>
      <w:r w:rsidDel="00000000" w:rsidR="00000000" w:rsidRPr="00000000">
        <w:rPr>
          <w:rtl w:val="0"/>
        </w:rPr>
        <w:t xml:space="preserve">sottolinea con vigore che la Commissione europea e gli Stati membri dovrebbero sfruttare le opportunità offerte dal telelavoro, promuovendo la vita nelle zone rurali, nelle isole e nelle aree con una densità di popolazione molto bassa e facendo leva sui vantaggi derivanti dell'abitare in questi territori. Una scelta di questo tipo potrebbe risultare più sostenibile e conveniente sotto il profilo ambientale, sociale ed economico se, fra gli altri requisiti di base, fosse garantita la coesione digitale, ossia la piena disponibilità dei servizi digitali essenziali;</w:t>
      </w:r>
    </w:p>
    <w:p w:rsidR="00000000" w:rsidDel="00000000" w:rsidP="00000000" w:rsidRDefault="00000000" w:rsidRPr="00000000" w14:paraId="00000069">
      <w:pPr>
        <w:pStyle w:val="Heading1"/>
        <w:ind w:left="567" w:firstLine="0"/>
        <w:rPr/>
      </w:pPr>
      <w:r w:rsidDel="00000000" w:rsidR="00000000" w:rsidRPr="00000000">
        <w:rPr>
          <w:rtl w:val="0"/>
        </w:rPr>
      </w:r>
    </w:p>
    <w:p w:rsidR="00000000" w:rsidDel="00000000" w:rsidP="00000000" w:rsidRDefault="00000000" w:rsidRPr="00000000" w14:paraId="0000006A">
      <w:pPr>
        <w:pStyle w:val="Heading1"/>
        <w:numPr>
          <w:ilvl w:val="0"/>
          <w:numId w:val="4"/>
        </w:numPr>
        <w:ind w:left="567" w:hanging="567"/>
        <w:rPr/>
      </w:pPr>
      <w:r w:rsidDel="00000000" w:rsidR="00000000" w:rsidRPr="00000000">
        <w:rPr>
          <w:rtl w:val="0"/>
        </w:rPr>
        <w:t xml:space="preserve">pone in evidenza i meriti della condivisione degli esempi di buone pratiche - provenienti da tutte le regioni europee - in riferimento a politiche che promuovano opportunità di lavoro a distanza improntate alla sostenibilità e in cui sia data la priorità a connessioni digitali di qualità, come "Making Remote Work"</w:t>
      </w:r>
      <w:r w:rsidDel="00000000" w:rsidR="00000000" w:rsidRPr="00000000">
        <w:rPr>
          <w:vertAlign w:val="superscript"/>
        </w:rPr>
        <w:footnoteReference w:customMarkFollows="0" w:id="11"/>
      </w:r>
      <w:r w:rsidDel="00000000" w:rsidR="00000000" w:rsidRPr="00000000">
        <w:rPr>
          <w:rtl w:val="0"/>
        </w:rPr>
        <w:t xml:space="preserve">, la strategia irlandese per garantire che il lavoro a distanza sia una caratteristica permanente del luogo di lavoro in Irlanda in modo da trarre i massimi benefici sul piano economico, sociale e ambientale;</w:t>
      </w:r>
    </w:p>
    <w:p w:rsidR="00000000" w:rsidDel="00000000" w:rsidP="00000000" w:rsidRDefault="00000000" w:rsidRPr="00000000" w14:paraId="0000006B">
      <w:pPr>
        <w:pStyle w:val="Heading1"/>
        <w:ind w:left="567" w:firstLine="0"/>
        <w:rPr/>
      </w:pPr>
      <w:r w:rsidDel="00000000" w:rsidR="00000000" w:rsidRPr="00000000">
        <w:rPr>
          <w:rtl w:val="0"/>
        </w:rPr>
      </w:r>
    </w:p>
    <w:p w:rsidR="00000000" w:rsidDel="00000000" w:rsidP="00000000" w:rsidRDefault="00000000" w:rsidRPr="00000000" w14:paraId="0000006C">
      <w:pPr>
        <w:pStyle w:val="Heading1"/>
        <w:numPr>
          <w:ilvl w:val="0"/>
          <w:numId w:val="4"/>
        </w:numPr>
        <w:ind w:left="567" w:hanging="567"/>
        <w:rPr/>
      </w:pPr>
      <w:r w:rsidDel="00000000" w:rsidR="00000000" w:rsidRPr="00000000">
        <w:rPr>
          <w:rtl w:val="0"/>
        </w:rPr>
        <w:t xml:space="preserve">sottolinea il ruolo delle scuole, delle università, dei centri di ricerca e degli ecosistemi regionali per quanto riguarda la partecipazione ai poli dell'innovazione digitale o persino la loro direzione, poiché spesso questi poli non sono coordinati dalle politiche regionali e pertanto il vasto know-how e le risorse intellettuali vanno spesso sprecati; in tale contesto, è necessario adottare misure per evitare l'esodo dei talenti migliori, e il lavoro a distanza, a condizioni eque, può far parte della soluzione, in particolare per le zone svantaggiate;</w:t>
      </w:r>
    </w:p>
    <w:p w:rsidR="00000000" w:rsidDel="00000000" w:rsidP="00000000" w:rsidRDefault="00000000" w:rsidRPr="00000000" w14:paraId="0000006D">
      <w:pPr>
        <w:pStyle w:val="Heading1"/>
        <w:ind w:left="567" w:firstLine="0"/>
        <w:rPr/>
      </w:pPr>
      <w:r w:rsidDel="00000000" w:rsidR="00000000" w:rsidRPr="00000000">
        <w:rPr>
          <w:rtl w:val="0"/>
        </w:rPr>
      </w:r>
    </w:p>
    <w:p w:rsidR="00000000" w:rsidDel="00000000" w:rsidP="00000000" w:rsidRDefault="00000000" w:rsidRPr="00000000" w14:paraId="0000006E">
      <w:pPr>
        <w:pStyle w:val="Heading1"/>
        <w:numPr>
          <w:ilvl w:val="0"/>
          <w:numId w:val="4"/>
        </w:numPr>
        <w:ind w:left="567" w:hanging="567"/>
        <w:rPr/>
      </w:pPr>
      <w:r w:rsidDel="00000000" w:rsidR="00000000" w:rsidRPr="00000000">
        <w:rPr>
          <w:rtl w:val="0"/>
        </w:rPr>
        <w:t xml:space="preserve">sottolinea che, per quanto riguarda le PMI, bisogna adoperarsi in misura maggiore per sostenere queste imprese nel loro cammino verso la digitalizzazione, dato che esse sono in ritardo rispetto alle imprese di grandi dimensioni, che dispongono di maggiori risorse, ed è quindi necessario elaborare un nuovo ventaglio di competenze. Gli oneri amministrativi sostenuti dalle PMI, e dalle microimprese in particolare, per accedere ai fondi dell'UE (non soltanto in relazione al digitale) devono essere significativamente ridotti. Le formalità amministrative devono essere proporzionate alle dimensioni dell'impresa, garantendo nel contempo un trattamento equo ai titolari delle PMI che ricevono finanziamenti dell'UE</w:t>
      </w:r>
      <w:r w:rsidDel="00000000" w:rsidR="00000000" w:rsidRPr="00000000">
        <w:rPr>
          <w:vertAlign w:val="superscript"/>
        </w:rPr>
        <w:footnoteReference w:customMarkFollows="0" w:id="12"/>
      </w:r>
      <w:r w:rsidDel="00000000" w:rsidR="00000000" w:rsidRPr="00000000">
        <w:rPr>
          <w:rtl w:val="0"/>
        </w:rPr>
        <w:t xml:space="preserve">. La Commissione europea dovrebbe condurre un test PMI per le attuali pratiche e presentare proposte volte a ridurre gli oneri amministrativi, specialmente per le microimprese (ad esempio, esenzione dall'obbligo di audit);</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1"/>
        <w:numPr>
          <w:ilvl w:val="0"/>
          <w:numId w:val="4"/>
        </w:numPr>
        <w:ind w:left="567" w:hanging="567"/>
        <w:rPr/>
      </w:pPr>
      <w:r w:rsidDel="00000000" w:rsidR="00000000" w:rsidRPr="00000000">
        <w:rPr>
          <w:rtl w:val="0"/>
        </w:rPr>
        <w:t xml:space="preserve">l'assegnazione degli stanziamenti a titolo del dispositivo per la ripresa e la resilienza alle iniziative digitali e alle PMI in particolare dovrebbe essere attentamente monitorata, e si dovrebbe valutare se l'importo dei finanziamenti assegnati alle PMI è proporzionato al loro contributo ai PIL nazionali (e regionali).</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keepNext w:val="1"/>
        <w:keepLines w:val="1"/>
        <w:rPr>
          <w:i w:val="1"/>
        </w:rPr>
      </w:pPr>
      <w:r w:rsidDel="00000000" w:rsidR="00000000" w:rsidRPr="00000000">
        <w:rPr>
          <w:i w:val="1"/>
          <w:rtl w:val="0"/>
        </w:rPr>
        <w:t xml:space="preserve">Amministrazione online, resilienza digitale</w:t>
      </w:r>
    </w:p>
    <w:p w:rsidR="00000000" w:rsidDel="00000000" w:rsidP="00000000" w:rsidRDefault="00000000" w:rsidRPr="00000000" w14:paraId="00000073">
      <w:pPr>
        <w:keepNext w:val="1"/>
        <w:keepLines w:val="1"/>
        <w:rPr/>
      </w:pPr>
      <w:r w:rsidDel="00000000" w:rsidR="00000000" w:rsidRPr="00000000">
        <w:rPr>
          <w:rtl w:val="0"/>
        </w:rPr>
      </w:r>
    </w:p>
    <w:p w:rsidR="00000000" w:rsidDel="00000000" w:rsidP="00000000" w:rsidRDefault="00000000" w:rsidRPr="00000000" w14:paraId="00000074">
      <w:pPr>
        <w:pStyle w:val="Heading1"/>
        <w:numPr>
          <w:ilvl w:val="0"/>
          <w:numId w:val="4"/>
        </w:numPr>
        <w:ind w:left="567" w:hanging="567"/>
        <w:rPr/>
      </w:pPr>
      <w:r w:rsidDel="00000000" w:rsidR="00000000" w:rsidRPr="00000000">
        <w:rPr>
          <w:rtl w:val="0"/>
        </w:rPr>
        <w:t xml:space="preserve">accoglie con favore la promozione, da parte della Commissione europea, di una campagna di sensibilizzazione più mirata, rivolta ai cittadini, sulle piattaforme di partecipazione digitale esistenti a livello europeo, nazionale, regionale e locale, attraverso un migliore coordinamento con gli Stati membri e gli enti locali e regionali;</w:t>
      </w:r>
    </w:p>
    <w:p w:rsidR="00000000" w:rsidDel="00000000" w:rsidP="00000000" w:rsidRDefault="00000000" w:rsidRPr="00000000" w14:paraId="00000075">
      <w:pPr>
        <w:pStyle w:val="Heading1"/>
        <w:ind w:left="567" w:firstLine="0"/>
        <w:rPr/>
      </w:pPr>
      <w:r w:rsidDel="00000000" w:rsidR="00000000" w:rsidRPr="00000000">
        <w:rPr>
          <w:rtl w:val="0"/>
        </w:rPr>
      </w:r>
    </w:p>
    <w:p w:rsidR="00000000" w:rsidDel="00000000" w:rsidP="00000000" w:rsidRDefault="00000000" w:rsidRPr="00000000" w14:paraId="00000076">
      <w:pPr>
        <w:pStyle w:val="Heading1"/>
        <w:numPr>
          <w:ilvl w:val="0"/>
          <w:numId w:val="4"/>
        </w:numPr>
        <w:ind w:left="567" w:hanging="567"/>
        <w:rPr/>
      </w:pPr>
      <w:r w:rsidDel="00000000" w:rsidR="00000000" w:rsidRPr="00000000">
        <w:rPr>
          <w:rtl w:val="0"/>
        </w:rPr>
        <w:t xml:space="preserve">suggerisce agli Stati membri di destinare risorse specifiche all'avvio di partenariati pubblico-privato, campagne di sensibilizzazione e corsi di formazione per preparare i cittadini, le imprese e il settore pubblico ad affrontare la criminalità informatica come problema orizzontale della trasformazione digitale;</w:t>
      </w:r>
    </w:p>
    <w:p w:rsidR="00000000" w:rsidDel="00000000" w:rsidP="00000000" w:rsidRDefault="00000000" w:rsidRPr="00000000" w14:paraId="00000077">
      <w:pPr>
        <w:pStyle w:val="Heading1"/>
        <w:ind w:left="567" w:firstLine="0"/>
        <w:rPr/>
      </w:pPr>
      <w:r w:rsidDel="00000000" w:rsidR="00000000" w:rsidRPr="00000000">
        <w:rPr>
          <w:rtl w:val="0"/>
        </w:rPr>
      </w:r>
    </w:p>
    <w:p w:rsidR="00000000" w:rsidDel="00000000" w:rsidP="00000000" w:rsidRDefault="00000000" w:rsidRPr="00000000" w14:paraId="00000078">
      <w:pPr>
        <w:pStyle w:val="Heading1"/>
        <w:numPr>
          <w:ilvl w:val="0"/>
          <w:numId w:val="4"/>
        </w:numPr>
        <w:ind w:left="567" w:hanging="567"/>
        <w:rPr/>
      </w:pPr>
      <w:r w:rsidDel="00000000" w:rsidR="00000000" w:rsidRPr="00000000">
        <w:rPr>
          <w:rtl w:val="0"/>
        </w:rPr>
        <w:t xml:space="preserve">invita la Commissione europea e gli Stati membri ad affrontare gli ostacoli normativi e di interoperabilità transnazionali che impediscono la piena realizzazione del mercato unico digitale e ostacolano l'espansione delle imprese e la diffusione delle tecnologie in Europa. Inoltre, gli enti locali e regionali dovranno agevolare la definizione di un modello comune attraverso, ad esempio, la piattaforma a banda larga;</w:t>
      </w:r>
    </w:p>
    <w:p w:rsidR="00000000" w:rsidDel="00000000" w:rsidP="00000000" w:rsidRDefault="00000000" w:rsidRPr="00000000" w14:paraId="00000079">
      <w:pPr>
        <w:pStyle w:val="Heading1"/>
        <w:ind w:left="567" w:firstLine="0"/>
        <w:jc w:val="center"/>
        <w:rPr/>
      </w:pPr>
      <w:r w:rsidDel="00000000" w:rsidR="00000000" w:rsidRPr="00000000">
        <w:rPr>
          <w:rtl w:val="0"/>
        </w:rPr>
      </w:r>
    </w:p>
    <w:p w:rsidR="00000000" w:rsidDel="00000000" w:rsidP="00000000" w:rsidRDefault="00000000" w:rsidRPr="00000000" w14:paraId="0000007A">
      <w:pPr>
        <w:pStyle w:val="Heading1"/>
        <w:numPr>
          <w:ilvl w:val="0"/>
          <w:numId w:val="4"/>
        </w:numPr>
        <w:ind w:left="567" w:hanging="567"/>
        <w:rPr/>
      </w:pPr>
      <w:r w:rsidDel="00000000" w:rsidR="00000000" w:rsidRPr="00000000">
        <w:rPr>
          <w:rtl w:val="0"/>
        </w:rPr>
        <w:t xml:space="preserve">raccomanda che l'interoperabilità dei sistemi informatici pubblici regionali e locali con quelli a livello nazionale diventi un presupposto indispensabile di per qualsiasi iniziativa digitale, in particolare quando esistono già norme TIC dell'UE o specifiche tecniche comuni dell'UE. L'interoperabilità dovrebbe sempre accompagnarsi alla neutralità tecnologica delle soluzioni e dei servizi anche per evitare il blocco da fornitore; dovrebbe inoltre essere condotto un test PMI per qualunque servizio pubblico ad esse rivolto; i rappresentanti degli enti locali e regionali dovrebbero essere membri di opportune commissioni a livello nazionale e svolgere un ruolo consultivo in rapporto a iniziative di interoperabilità di primo piano;</w:t>
      </w:r>
    </w:p>
    <w:p w:rsidR="00000000" w:rsidDel="00000000" w:rsidP="00000000" w:rsidRDefault="00000000" w:rsidRPr="00000000" w14:paraId="0000007B">
      <w:pPr>
        <w:pStyle w:val="Heading1"/>
        <w:ind w:left="567" w:firstLine="0"/>
        <w:rPr/>
      </w:pPr>
      <w:r w:rsidDel="00000000" w:rsidR="00000000" w:rsidRPr="00000000">
        <w:rPr>
          <w:rtl w:val="0"/>
        </w:rPr>
      </w:r>
    </w:p>
    <w:p w:rsidR="00000000" w:rsidDel="00000000" w:rsidP="00000000" w:rsidRDefault="00000000" w:rsidRPr="00000000" w14:paraId="0000007C">
      <w:pPr>
        <w:pStyle w:val="Heading1"/>
        <w:numPr>
          <w:ilvl w:val="0"/>
          <w:numId w:val="4"/>
        </w:numPr>
        <w:ind w:left="567" w:hanging="567"/>
        <w:rPr/>
      </w:pPr>
      <w:r w:rsidDel="00000000" w:rsidR="00000000" w:rsidRPr="00000000">
        <w:rPr>
          <w:rtl w:val="0"/>
        </w:rPr>
        <w:t xml:space="preserve">sottolinea l'importanza della disponibilità di software con codice sorgente aperto; inoltre, anche i dati aperti al pubblico per tutti gli insiemi di dati di elevato valore, di cui alla direttiva (UE) 2019/1024 relativa all'apertura dei dati e al riutilizzo dell'informazione del settore pubblico, dovrebbero essere considerati un diritto digitale dei cittadini dell'UE al fine di garantirne la partecipazione attiva; anche la scienza dei cittadini dovrebbe essere promossa e, in tale contesto, le comunità chiave dovrebbero essere mappate a livello dell'UE e sfruttate di conseguenza anche, ma non solo, ai fini della raccolta di dati "locali" per il monitoraggio della coesione digitale e le raccomandazioni su come raggiungerla;</w:t>
      </w:r>
    </w:p>
    <w:p w:rsidR="00000000" w:rsidDel="00000000" w:rsidP="00000000" w:rsidRDefault="00000000" w:rsidRPr="00000000" w14:paraId="0000007D">
      <w:pPr>
        <w:pStyle w:val="Heading1"/>
        <w:ind w:left="567" w:firstLine="0"/>
        <w:rPr/>
      </w:pPr>
      <w:r w:rsidDel="00000000" w:rsidR="00000000" w:rsidRPr="00000000">
        <w:rPr>
          <w:rtl w:val="0"/>
        </w:rPr>
      </w:r>
    </w:p>
    <w:p w:rsidR="00000000" w:rsidDel="00000000" w:rsidP="00000000" w:rsidRDefault="00000000" w:rsidRPr="00000000" w14:paraId="0000007E">
      <w:pPr>
        <w:pStyle w:val="Heading1"/>
        <w:numPr>
          <w:ilvl w:val="0"/>
          <w:numId w:val="4"/>
        </w:numPr>
        <w:ind w:left="567" w:hanging="567"/>
        <w:rPr/>
      </w:pPr>
      <w:r w:rsidDel="00000000" w:rsidR="00000000" w:rsidRPr="00000000">
        <w:rPr>
          <w:rtl w:val="0"/>
        </w:rPr>
        <w:t xml:space="preserve">rammenta l'esperienza della Regione Siciliana che dimostra che l'accesso a Internet</w:t>
      </w:r>
      <w:r w:rsidDel="00000000" w:rsidR="00000000" w:rsidRPr="00000000">
        <w:rPr>
          <w:vertAlign w:val="superscript"/>
        </w:rPr>
        <w:footnoteReference w:customMarkFollows="0" w:id="13"/>
      </w:r>
      <w:r w:rsidDel="00000000" w:rsidR="00000000" w:rsidRPr="00000000">
        <w:rPr>
          <w:rtl w:val="0"/>
        </w:rPr>
        <w:t xml:space="preserve"> è una condizione necessaria, ma non sufficiente, per promuovere la transizione digitale e aumentare l'uso di strumenti e servizi digitali. Contemporaneamente, i cittadini dotati di connettività e competenze digitali possono offrire un valore significativo alle loro comunità. Durante la pandemia di COVID-19 un ragazzo diciannovenne di Regalbuto, un comune di settemila abitanti in provincia di Enna, ha creato il progetto InformaCovid Sicilia</w:t>
      </w:r>
      <w:r w:rsidDel="00000000" w:rsidR="00000000" w:rsidRPr="00000000">
        <w:rPr>
          <w:vertAlign w:val="superscript"/>
        </w:rPr>
        <w:footnoteReference w:customMarkFollows="0" w:id="14"/>
      </w:r>
      <w:r w:rsidDel="00000000" w:rsidR="00000000" w:rsidRPr="00000000">
        <w:rPr>
          <w:rtl w:val="0"/>
        </w:rPr>
        <w:t xml:space="preserve">, un'iniziativa di monitoraggio civico per seguire l'andamento dei contagi da coronavirus nei comuni coperti dal servizio. Con il sostegno di OpenData Sicilia, una vasta comunità di attivisti che hanno fatto dei dati aperti la loro missione, InformaCovid Sicilia è diventata una sorta di "cassetta degli attrezzi" utilizzata in comune da oltre trenta comuni isolani;</w:t>
      </w:r>
    </w:p>
    <w:p w:rsidR="00000000" w:rsidDel="00000000" w:rsidP="00000000" w:rsidRDefault="00000000" w:rsidRPr="00000000" w14:paraId="0000007F">
      <w:pPr>
        <w:pStyle w:val="Heading1"/>
        <w:ind w:left="567" w:firstLine="0"/>
        <w:rPr/>
      </w:pPr>
      <w:r w:rsidDel="00000000" w:rsidR="00000000" w:rsidRPr="00000000">
        <w:rPr>
          <w:rtl w:val="0"/>
        </w:rPr>
      </w:r>
    </w:p>
    <w:p w:rsidR="00000000" w:rsidDel="00000000" w:rsidP="00000000" w:rsidRDefault="00000000" w:rsidRPr="00000000" w14:paraId="00000080">
      <w:pPr>
        <w:pStyle w:val="Heading1"/>
        <w:numPr>
          <w:ilvl w:val="0"/>
          <w:numId w:val="4"/>
        </w:numPr>
        <w:ind w:left="567" w:hanging="567"/>
        <w:rPr/>
      </w:pPr>
      <w:r w:rsidDel="00000000" w:rsidR="00000000" w:rsidRPr="00000000">
        <w:rPr>
          <w:rtl w:val="0"/>
        </w:rPr>
        <w:t xml:space="preserve">rinnova il proprio invito, in linea con il proprio recente parere in merito alla legge sull'intelligenza artificiale, affinché la Commissione europea estenda la valutazione d'impatto alle implicazioni delle tecnologie di IA sui cittadini - e in particolare sui gruppi vulnerabili - coinvolgendo obbligatoriamente gli enti locali e regionali e/o i loro rappresentanti nella consultazione e stabilendo disposizioni in materia di trasparenza e informazione più rigorose per le tecnologie di IA ad alto rischio</w:t>
      </w:r>
      <w:r w:rsidDel="00000000" w:rsidR="00000000" w:rsidRPr="00000000">
        <w:rPr>
          <w:vertAlign w:val="superscript"/>
        </w:rPr>
        <w:footnoteReference w:customMarkFollows="0" w:id="15"/>
      </w:r>
      <w:r w:rsidDel="00000000" w:rsidR="00000000" w:rsidRPr="00000000">
        <w:rPr>
          <w:rtl w:val="0"/>
        </w:rPr>
        <w:t xml:space="preserve">.</w:t>
      </w:r>
    </w:p>
    <w:p w:rsidR="00000000" w:rsidDel="00000000" w:rsidP="00000000" w:rsidRDefault="00000000" w:rsidRPr="00000000" w14:paraId="00000081">
      <w:pPr>
        <w:pStyle w:val="Heading1"/>
        <w:ind w:left="567" w:firstLine="0"/>
        <w:rPr/>
      </w:pPr>
      <w:r w:rsidDel="00000000" w:rsidR="00000000" w:rsidRPr="00000000">
        <w:rPr>
          <w:rtl w:val="0"/>
        </w:rPr>
      </w:r>
    </w:p>
    <w:p w:rsidR="00000000" w:rsidDel="00000000" w:rsidP="00000000" w:rsidRDefault="00000000" w:rsidRPr="00000000" w14:paraId="00000082">
      <w:pPr>
        <w:keepNext w:val="1"/>
        <w:keepLines w:val="1"/>
        <w:rPr>
          <w:i w:val="1"/>
        </w:rPr>
      </w:pPr>
      <w:r w:rsidDel="00000000" w:rsidR="00000000" w:rsidRPr="00000000">
        <w:rPr>
          <w:i w:val="1"/>
          <w:rtl w:val="0"/>
        </w:rPr>
        <w:t xml:space="preserve">Monitoraggio e misurazione dei divari digitali </w:t>
      </w:r>
    </w:p>
    <w:p w:rsidR="00000000" w:rsidDel="00000000" w:rsidP="00000000" w:rsidRDefault="00000000" w:rsidRPr="00000000" w14:paraId="00000083">
      <w:pPr>
        <w:keepNext w:val="1"/>
        <w:keepLines w:val="1"/>
        <w:rPr/>
      </w:pPr>
      <w:r w:rsidDel="00000000" w:rsidR="00000000" w:rsidRPr="00000000">
        <w:rPr>
          <w:rtl w:val="0"/>
        </w:rPr>
      </w:r>
    </w:p>
    <w:p w:rsidR="00000000" w:rsidDel="00000000" w:rsidP="00000000" w:rsidRDefault="00000000" w:rsidRPr="00000000" w14:paraId="00000084">
      <w:pPr>
        <w:pStyle w:val="Heading1"/>
        <w:numPr>
          <w:ilvl w:val="0"/>
          <w:numId w:val="4"/>
        </w:numPr>
        <w:ind w:left="567" w:hanging="567"/>
        <w:rPr/>
      </w:pPr>
      <w:r w:rsidDel="00000000" w:rsidR="00000000" w:rsidRPr="00000000">
        <w:rPr>
          <w:rtl w:val="0"/>
        </w:rPr>
        <w:t xml:space="preserve">sottolinea che la Commissione europea - insieme agli Stati membri, Eurostat, gli uffici nazionali di statistica e il JRC - dovrà, promuovere un aumento graduale, ma continuo, della ripartizione geografica dei dati esistenti e ampliare la portata delle informazioni per includere adeguatamente gli aspetti dell'economia e della società digitali. Il Comitato europeo delle regioni dovrà essere coinvolto come attore di primo piano per presentare le necessità degli enti regionali e locali in termini di dati e informazioni, oltre che di strumenti adeguati per misurare la maturità digitale;</w:t>
      </w:r>
    </w:p>
    <w:p w:rsidR="00000000" w:rsidDel="00000000" w:rsidP="00000000" w:rsidRDefault="00000000" w:rsidRPr="00000000" w14:paraId="00000085">
      <w:pPr>
        <w:pStyle w:val="Heading1"/>
        <w:ind w:left="567" w:firstLine="0"/>
        <w:rPr/>
      </w:pPr>
      <w:r w:rsidDel="00000000" w:rsidR="00000000" w:rsidRPr="00000000">
        <w:rPr>
          <w:rtl w:val="0"/>
        </w:rPr>
      </w:r>
    </w:p>
    <w:p w:rsidR="00000000" w:rsidDel="00000000" w:rsidP="00000000" w:rsidRDefault="00000000" w:rsidRPr="00000000" w14:paraId="00000086">
      <w:pPr>
        <w:pStyle w:val="Heading1"/>
        <w:numPr>
          <w:ilvl w:val="0"/>
          <w:numId w:val="4"/>
        </w:numPr>
        <w:ind w:left="567" w:hanging="567"/>
        <w:rPr/>
      </w:pPr>
      <w:r w:rsidDel="00000000" w:rsidR="00000000" w:rsidRPr="00000000">
        <w:rPr>
          <w:rtl w:val="0"/>
        </w:rPr>
        <w:t xml:space="preserve">suggerisce di elaborare un sistema solido e completo di indicatori digitali a livello locale (che misuri la maturità digitale e serva quale base per il processo decisionale) da intendere anche come criteri per la determinazione delle risorse per la coesione economica, sociale e territoriale ai sensi del regolamento recante disposizioni comuni attualmente in vigore;</w:t>
      </w:r>
    </w:p>
    <w:p w:rsidR="00000000" w:rsidDel="00000000" w:rsidP="00000000" w:rsidRDefault="00000000" w:rsidRPr="00000000" w14:paraId="00000087">
      <w:pPr>
        <w:pStyle w:val="Heading1"/>
        <w:ind w:left="567" w:firstLine="0"/>
        <w:rPr/>
      </w:pPr>
      <w:r w:rsidDel="00000000" w:rsidR="00000000" w:rsidRPr="00000000">
        <w:rPr>
          <w:rtl w:val="0"/>
        </w:rPr>
      </w:r>
    </w:p>
    <w:p w:rsidR="00000000" w:rsidDel="00000000" w:rsidP="00000000" w:rsidRDefault="00000000" w:rsidRPr="00000000" w14:paraId="00000088">
      <w:pPr>
        <w:pStyle w:val="Heading1"/>
        <w:numPr>
          <w:ilvl w:val="0"/>
          <w:numId w:val="4"/>
        </w:numPr>
        <w:ind w:left="567" w:hanging="567"/>
        <w:rPr/>
      </w:pPr>
      <w:r w:rsidDel="00000000" w:rsidR="00000000" w:rsidRPr="00000000">
        <w:rPr>
          <w:rtl w:val="0"/>
        </w:rPr>
        <w:t xml:space="preserve">propone di instaurare una collaborazione con la Commissione europea al fine di procedere assieme verso una bussola per il digitale che tenga concretamente conto della dimensione territoriale. Ciò consentirà di passare dalla valutazione dei progressi in termini di digitalizzazione e trasformazione digitale in Europa all'evoluzione della coesione digitale in tutti i territori.</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Bruxelles,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numPr>
          <w:ilvl w:val="0"/>
          <w:numId w:val="3"/>
        </w:numPr>
        <w:ind w:left="567" w:hanging="567"/>
        <w:rPr/>
      </w:pPr>
      <w:r w:rsidDel="00000000" w:rsidR="00000000" w:rsidRPr="00000000">
        <w:br w:type="page"/>
      </w:r>
      <w:r w:rsidDel="00000000" w:rsidR="00000000" w:rsidRPr="00000000">
        <w:rPr>
          <w:b w:val="1"/>
          <w:rtl w:val="0"/>
        </w:rPr>
        <w:t xml:space="preserve">PROCEDURA</w:t>
      </w:r>
    </w:p>
    <w:p w:rsidR="00000000" w:rsidDel="00000000" w:rsidP="00000000" w:rsidRDefault="00000000" w:rsidRPr="00000000" w14:paraId="0000008D">
      <w:pPr>
        <w:rPr/>
      </w:pPr>
      <w:r w:rsidDel="00000000" w:rsidR="00000000" w:rsidRPr="00000000">
        <w:rPr>
          <w:rtl w:val="0"/>
        </w:rPr>
      </w:r>
    </w:p>
    <w:tbl>
      <w:tblPr>
        <w:tblStyle w:val="Table5"/>
        <w:tblW w:w="92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48"/>
        <w:gridCol w:w="5441"/>
        <w:tblGridChange w:id="0">
          <w:tblGrid>
            <w:gridCol w:w="3848"/>
            <w:gridCol w:w="5441"/>
          </w:tblGrid>
        </w:tblGridChange>
      </w:tblGrid>
      <w:tr>
        <w:trPr>
          <w:cantSplit w:val="0"/>
          <w:tblHeader w:val="0"/>
        </w:trPr>
        <w:tc>
          <w:tcPr/>
          <w:p w:rsidR="00000000" w:rsidDel="00000000" w:rsidP="00000000" w:rsidRDefault="00000000" w:rsidRPr="00000000" w14:paraId="0000008E">
            <w:pPr>
              <w:jc w:val="left"/>
              <w:rPr>
                <w:b w:val="1"/>
              </w:rPr>
            </w:pPr>
            <w:r w:rsidDel="00000000" w:rsidR="00000000" w:rsidRPr="00000000">
              <w:rPr>
                <w:b w:val="1"/>
                <w:rtl w:val="0"/>
              </w:rPr>
              <w:t xml:space="preserve">Titolo</w:t>
            </w:r>
          </w:p>
          <w:p w:rsidR="00000000" w:rsidDel="00000000" w:rsidP="00000000" w:rsidRDefault="00000000" w:rsidRPr="00000000" w14:paraId="0000008F">
            <w:pPr>
              <w:jc w:val="left"/>
              <w:rPr/>
            </w:pPr>
            <w:r w:rsidDel="00000000" w:rsidR="00000000" w:rsidRPr="00000000">
              <w:rPr>
                <w:rtl w:val="0"/>
              </w:rPr>
            </w:r>
          </w:p>
        </w:tc>
        <w:tc>
          <w:tcPr/>
          <w:p w:rsidR="00000000" w:rsidDel="00000000" w:rsidP="00000000" w:rsidRDefault="00000000" w:rsidRPr="00000000" w14:paraId="00000090">
            <w:pPr>
              <w:rPr/>
            </w:pPr>
            <w:r w:rsidDel="00000000" w:rsidR="00000000" w:rsidRPr="00000000">
              <w:rPr>
                <w:rtl w:val="0"/>
              </w:rPr>
              <w:t xml:space="preserve">Coesione digitale</w:t>
            </w:r>
          </w:p>
        </w:tc>
      </w:tr>
      <w:tr>
        <w:trPr>
          <w:cantSplit w:val="0"/>
          <w:tblHeader w:val="0"/>
        </w:trPr>
        <w:tc>
          <w:tcPr/>
          <w:p w:rsidR="00000000" w:rsidDel="00000000" w:rsidP="00000000" w:rsidRDefault="00000000" w:rsidRPr="00000000" w14:paraId="00000091">
            <w:pPr>
              <w:jc w:val="left"/>
              <w:rPr>
                <w:b w:val="1"/>
              </w:rPr>
            </w:pPr>
            <w:r w:rsidDel="00000000" w:rsidR="00000000" w:rsidRPr="00000000">
              <w:rPr>
                <w:b w:val="1"/>
                <w:rtl w:val="0"/>
              </w:rPr>
              <w:t xml:space="preserve">Riferimento </w:t>
            </w:r>
          </w:p>
        </w:tc>
        <w:tc>
          <w:tcPr/>
          <w:p w:rsidR="00000000" w:rsidDel="00000000" w:rsidP="00000000" w:rsidRDefault="00000000" w:rsidRPr="00000000" w14:paraId="00000092">
            <w:pPr>
              <w:rPr/>
            </w:pPr>
            <w:r w:rsidDel="00000000" w:rsidR="00000000" w:rsidRPr="00000000">
              <w:rPr>
                <w:rtl w:val="0"/>
              </w:rPr>
              <w:t xml:space="preserve">N/P</w:t>
            </w:r>
          </w:p>
        </w:tc>
      </w:tr>
      <w:tr>
        <w:trPr>
          <w:cantSplit w:val="0"/>
          <w:tblHeader w:val="0"/>
        </w:trPr>
        <w:tc>
          <w:tcPr/>
          <w:p w:rsidR="00000000" w:rsidDel="00000000" w:rsidP="00000000" w:rsidRDefault="00000000" w:rsidRPr="00000000" w14:paraId="00000093">
            <w:pPr>
              <w:jc w:val="left"/>
              <w:rPr>
                <w:b w:val="1"/>
              </w:rPr>
            </w:pPr>
            <w:r w:rsidDel="00000000" w:rsidR="00000000" w:rsidRPr="00000000">
              <w:rPr>
                <w:b w:val="1"/>
                <w:rtl w:val="0"/>
              </w:rPr>
              <w:t xml:space="preserve">Base giuridica</w:t>
            </w:r>
          </w:p>
        </w:tc>
        <w:tc>
          <w:tcPr/>
          <w:p w:rsidR="00000000" w:rsidDel="00000000" w:rsidP="00000000" w:rsidRDefault="00000000" w:rsidRPr="00000000" w14:paraId="00000094">
            <w:pPr>
              <w:rPr/>
            </w:pPr>
            <w:r w:rsidDel="00000000" w:rsidR="00000000" w:rsidRPr="00000000">
              <w:rPr>
                <w:rtl w:val="0"/>
              </w:rPr>
              <w:t xml:space="preserve">Articolo 307 del TFUE</w:t>
            </w:r>
          </w:p>
        </w:tc>
      </w:tr>
      <w:tr>
        <w:trPr>
          <w:cantSplit w:val="0"/>
          <w:tblHeader w:val="0"/>
        </w:trPr>
        <w:tc>
          <w:tcPr/>
          <w:p w:rsidR="00000000" w:rsidDel="00000000" w:rsidP="00000000" w:rsidRDefault="00000000" w:rsidRPr="00000000" w14:paraId="00000095">
            <w:pPr>
              <w:jc w:val="left"/>
              <w:rPr>
                <w:b w:val="1"/>
              </w:rPr>
            </w:pPr>
            <w:r w:rsidDel="00000000" w:rsidR="00000000" w:rsidRPr="00000000">
              <w:rPr>
                <w:b w:val="1"/>
                <w:rtl w:val="0"/>
              </w:rPr>
              <w:t xml:space="preserve">Base regolamentare</w:t>
            </w:r>
          </w:p>
        </w:tc>
        <w:tc>
          <w:tcPr/>
          <w:p w:rsidR="00000000" w:rsidDel="00000000" w:rsidP="00000000" w:rsidRDefault="00000000" w:rsidRPr="00000000" w14:paraId="00000096">
            <w:pPr>
              <w:rPr/>
            </w:pPr>
            <w:r w:rsidDel="00000000" w:rsidR="00000000" w:rsidRPr="00000000">
              <w:rPr>
                <w:rtl w:val="0"/>
              </w:rPr>
              <w:t xml:space="preserve">Articolo 41, lettera b), punto ii), del Regolamento interno</w:t>
            </w:r>
          </w:p>
        </w:tc>
      </w:tr>
      <w:tr>
        <w:trPr>
          <w:cantSplit w:val="0"/>
          <w:tblHeader w:val="0"/>
        </w:trPr>
        <w:tc>
          <w:tcPr/>
          <w:p w:rsidR="00000000" w:rsidDel="00000000" w:rsidP="00000000" w:rsidRDefault="00000000" w:rsidRPr="00000000" w14:paraId="00000097">
            <w:pPr>
              <w:jc w:val="left"/>
              <w:rPr/>
            </w:pPr>
            <w:r w:rsidDel="00000000" w:rsidR="00000000" w:rsidRPr="00000000">
              <w:rPr>
                <w:b w:val="1"/>
                <w:rtl w:val="0"/>
              </w:rPr>
              <w:t xml:space="preserve">Consultazione da parte del Consiglio / del PE</w:t>
              <w:br w:type="textWrapping"/>
              <w:br w:type="textWrapping"/>
              <w:t xml:space="preserve">Lettera della Commissione europea</w:t>
            </w: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t xml:space="preserve">N/A</w:t>
            </w:r>
          </w:p>
        </w:tc>
      </w:tr>
      <w:tr>
        <w:trPr>
          <w:cantSplit w:val="0"/>
          <w:tblHeader w:val="0"/>
        </w:trPr>
        <w:tc>
          <w:tcPr/>
          <w:p w:rsidR="00000000" w:rsidDel="00000000" w:rsidP="00000000" w:rsidRDefault="00000000" w:rsidRPr="00000000" w14:paraId="00000099">
            <w:pPr>
              <w:jc w:val="left"/>
              <w:rPr/>
            </w:pPr>
            <w:r w:rsidDel="00000000" w:rsidR="00000000" w:rsidRPr="00000000">
              <w:rPr>
                <w:b w:val="1"/>
                <w:rtl w:val="0"/>
              </w:rPr>
              <w:t xml:space="preserve">Decisione del Presidente / dell'Ufficio di presidenza</w:t>
            </w: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t xml:space="preserve">25 gennaio 2022</w:t>
            </w:r>
          </w:p>
        </w:tc>
      </w:tr>
      <w:tr>
        <w:trPr>
          <w:cantSplit w:val="0"/>
          <w:tblHeader w:val="0"/>
        </w:trPr>
        <w:tc>
          <w:tcPr/>
          <w:p w:rsidR="00000000" w:rsidDel="00000000" w:rsidP="00000000" w:rsidRDefault="00000000" w:rsidRPr="00000000" w14:paraId="0000009B">
            <w:pPr>
              <w:jc w:val="left"/>
              <w:rPr>
                <w:b w:val="1"/>
              </w:rPr>
            </w:pPr>
            <w:r w:rsidDel="00000000" w:rsidR="00000000" w:rsidRPr="00000000">
              <w:rPr>
                <w:b w:val="1"/>
                <w:rtl w:val="0"/>
              </w:rPr>
              <w:t xml:space="preserve">Commissione competente</w:t>
            </w:r>
          </w:p>
        </w:tc>
        <w:tc>
          <w:tcPr/>
          <w:p w:rsidR="00000000" w:rsidDel="00000000" w:rsidP="00000000" w:rsidRDefault="00000000" w:rsidRPr="00000000" w14:paraId="0000009C">
            <w:pPr>
              <w:rPr/>
            </w:pPr>
            <w:r w:rsidDel="00000000" w:rsidR="00000000" w:rsidRPr="00000000">
              <w:rPr>
                <w:rtl w:val="0"/>
              </w:rPr>
              <w:t xml:space="preserve">Politica economica</w:t>
            </w:r>
          </w:p>
        </w:tc>
      </w:tr>
      <w:tr>
        <w:trPr>
          <w:cantSplit w:val="0"/>
          <w:tblHeader w:val="0"/>
        </w:trPr>
        <w:tc>
          <w:tcPr/>
          <w:p w:rsidR="00000000" w:rsidDel="00000000" w:rsidP="00000000" w:rsidRDefault="00000000" w:rsidRPr="00000000" w14:paraId="0000009D">
            <w:pPr>
              <w:jc w:val="left"/>
              <w:rPr>
                <w:b w:val="1"/>
              </w:rPr>
            </w:pPr>
            <w:r w:rsidDel="00000000" w:rsidR="00000000" w:rsidRPr="00000000">
              <w:rPr>
                <w:b w:val="1"/>
                <w:rtl w:val="0"/>
              </w:rPr>
              <w:t xml:space="preserve">Relatore</w:t>
            </w:r>
          </w:p>
        </w:tc>
        <w:tc>
          <w:tcPr/>
          <w:p w:rsidR="00000000" w:rsidDel="00000000" w:rsidP="00000000" w:rsidRDefault="00000000" w:rsidRPr="00000000" w14:paraId="0000009E">
            <w:pPr>
              <w:rPr/>
            </w:pPr>
            <w:r w:rsidDel="00000000" w:rsidR="00000000" w:rsidRPr="00000000">
              <w:rPr>
                <w:rtl w:val="0"/>
              </w:rPr>
              <w:t xml:space="preserve">Gaetano ARMAO (IT/PPE)</w:t>
            </w:r>
          </w:p>
        </w:tc>
      </w:tr>
      <w:tr>
        <w:trPr>
          <w:cantSplit w:val="0"/>
          <w:tblHeader w:val="0"/>
        </w:trPr>
        <w:tc>
          <w:tcPr/>
          <w:p w:rsidR="00000000" w:rsidDel="00000000" w:rsidP="00000000" w:rsidRDefault="00000000" w:rsidRPr="00000000" w14:paraId="0000009F">
            <w:pPr>
              <w:jc w:val="left"/>
              <w:rPr>
                <w:b w:val="1"/>
              </w:rPr>
            </w:pPr>
            <w:r w:rsidDel="00000000" w:rsidR="00000000" w:rsidRPr="00000000">
              <w:rPr>
                <w:b w:val="1"/>
                <w:rtl w:val="0"/>
              </w:rPr>
              <w:t xml:space="preserve">Nota di analisi</w:t>
            </w:r>
          </w:p>
        </w:tc>
        <w:tc>
          <w:tcPr/>
          <w:p w:rsidR="00000000" w:rsidDel="00000000" w:rsidP="00000000" w:rsidRDefault="00000000" w:rsidRPr="00000000" w14:paraId="000000A0">
            <w:pPr>
              <w:rPr/>
            </w:pPr>
            <w:r w:rsidDel="00000000" w:rsidR="00000000" w:rsidRPr="00000000">
              <w:rPr>
                <w:rtl w:val="0"/>
              </w:rPr>
              <w:t xml:space="preserve">30 maggio 2022</w:t>
            </w:r>
          </w:p>
        </w:tc>
      </w:tr>
      <w:tr>
        <w:trPr>
          <w:cantSplit w:val="0"/>
          <w:tblHeader w:val="0"/>
        </w:trPr>
        <w:tc>
          <w:tcPr/>
          <w:p w:rsidR="00000000" w:rsidDel="00000000" w:rsidP="00000000" w:rsidRDefault="00000000" w:rsidRPr="00000000" w14:paraId="000000A1">
            <w:pPr>
              <w:jc w:val="left"/>
              <w:rPr>
                <w:b w:val="1"/>
              </w:rPr>
            </w:pPr>
            <w:r w:rsidDel="00000000" w:rsidR="00000000" w:rsidRPr="00000000">
              <w:rPr>
                <w:b w:val="1"/>
                <w:rtl w:val="0"/>
              </w:rPr>
              <w:t xml:space="preserve">Esame in commissione </w:t>
            </w:r>
          </w:p>
        </w:tc>
        <w:tc>
          <w:tcPr/>
          <w:p w:rsidR="00000000" w:rsidDel="00000000" w:rsidP="00000000" w:rsidRDefault="00000000" w:rsidRPr="00000000" w14:paraId="000000A2">
            <w:pPr>
              <w:rPr/>
            </w:pPr>
            <w:r w:rsidDel="00000000" w:rsidR="00000000" w:rsidRPr="00000000">
              <w:rPr>
                <w:rtl w:val="0"/>
              </w:rPr>
              <w:t xml:space="preserve">8 luglio 2022</w:t>
            </w:r>
          </w:p>
        </w:tc>
      </w:tr>
      <w:tr>
        <w:trPr>
          <w:cantSplit w:val="0"/>
          <w:tblHeader w:val="0"/>
        </w:trPr>
        <w:tc>
          <w:tcPr/>
          <w:p w:rsidR="00000000" w:rsidDel="00000000" w:rsidP="00000000" w:rsidRDefault="00000000" w:rsidRPr="00000000" w14:paraId="000000A3">
            <w:pPr>
              <w:jc w:val="left"/>
              <w:rPr>
                <w:b w:val="1"/>
              </w:rPr>
            </w:pPr>
            <w:r w:rsidDel="00000000" w:rsidR="00000000" w:rsidRPr="00000000">
              <w:rPr>
                <w:b w:val="1"/>
                <w:rtl w:val="0"/>
              </w:rPr>
              <w:t xml:space="preserve">Adozione in commissione </w:t>
            </w:r>
          </w:p>
        </w:tc>
        <w:tc>
          <w:tcPr/>
          <w:p w:rsidR="00000000" w:rsidDel="00000000" w:rsidP="00000000" w:rsidRDefault="00000000" w:rsidRPr="00000000" w14:paraId="000000A4">
            <w:pPr>
              <w:rPr/>
            </w:pPr>
            <w:r w:rsidDel="00000000" w:rsidR="00000000" w:rsidRPr="00000000">
              <w:rPr>
                <w:rtl w:val="0"/>
              </w:rPr>
              <w:t xml:space="preserve">8 luglio 2022 (da confermare)</w:t>
            </w:r>
          </w:p>
        </w:tc>
      </w:tr>
      <w:tr>
        <w:trPr>
          <w:cantSplit w:val="0"/>
          <w:tblHeader w:val="0"/>
        </w:trPr>
        <w:tc>
          <w:tcPr/>
          <w:p w:rsidR="00000000" w:rsidDel="00000000" w:rsidP="00000000" w:rsidRDefault="00000000" w:rsidRPr="00000000" w14:paraId="000000A5">
            <w:pPr>
              <w:jc w:val="left"/>
              <w:rPr>
                <w:b w:val="1"/>
              </w:rPr>
            </w:pPr>
            <w:r w:rsidDel="00000000" w:rsidR="00000000" w:rsidRPr="00000000">
              <w:rPr>
                <w:b w:val="1"/>
                <w:rtl w:val="0"/>
              </w:rPr>
              <w:t xml:space="preserve">Esito del voto in commissione</w:t>
            </w:r>
          </w:p>
          <w:p w:rsidR="00000000" w:rsidDel="00000000" w:rsidP="00000000" w:rsidRDefault="00000000" w:rsidRPr="00000000" w14:paraId="000000A6">
            <w:pPr>
              <w:jc w:val="left"/>
              <w:rPr>
                <w:b w:val="1"/>
              </w:rPr>
            </w:pPr>
            <w:r w:rsidDel="00000000" w:rsidR="00000000" w:rsidRPr="00000000">
              <w:rPr>
                <w:b w:val="1"/>
                <w:rtl w:val="0"/>
              </w:rPr>
              <w:t xml:space="preserve">(maggioranza, unanimità)</w:t>
            </w:r>
          </w:p>
        </w:tc>
        <w:tc>
          <w:tcPr/>
          <w:p w:rsidR="00000000" w:rsidDel="00000000" w:rsidP="00000000" w:rsidRDefault="00000000" w:rsidRPr="00000000" w14:paraId="000000A7">
            <w:pPr>
              <w:rPr/>
            </w:pPr>
            <w:r w:rsidDel="00000000" w:rsidR="00000000" w:rsidRPr="00000000">
              <w:rPr>
                <w:rtl w:val="0"/>
              </w:rPr>
            </w:r>
          </w:p>
        </w:tc>
      </w:tr>
      <w:tr>
        <w:trPr>
          <w:cantSplit w:val="0"/>
          <w:tblHeader w:val="0"/>
        </w:trPr>
        <w:tc>
          <w:tcPr/>
          <w:p w:rsidR="00000000" w:rsidDel="00000000" w:rsidP="00000000" w:rsidRDefault="00000000" w:rsidRPr="00000000" w14:paraId="000000A8">
            <w:pPr>
              <w:jc w:val="left"/>
              <w:rPr>
                <w:b w:val="1"/>
              </w:rPr>
            </w:pPr>
            <w:r w:rsidDel="00000000" w:rsidR="00000000" w:rsidRPr="00000000">
              <w:rPr>
                <w:b w:val="1"/>
                <w:rtl w:val="0"/>
              </w:rPr>
              <w:t xml:space="preserve">Adozione in sessione plenaria </w:t>
            </w:r>
          </w:p>
        </w:tc>
        <w:tc>
          <w:tcPr/>
          <w:p w:rsidR="00000000" w:rsidDel="00000000" w:rsidP="00000000" w:rsidRDefault="00000000" w:rsidRPr="00000000" w14:paraId="000000A9">
            <w:pPr>
              <w:rPr/>
            </w:pPr>
            <w:r w:rsidDel="00000000" w:rsidR="00000000" w:rsidRPr="00000000">
              <w:rPr>
                <w:rtl w:val="0"/>
              </w:rPr>
              <w:t xml:space="preserve">12-13 ottobre 2022 (da confermare)</w:t>
            </w:r>
          </w:p>
        </w:tc>
      </w:tr>
      <w:tr>
        <w:trPr>
          <w:cantSplit w:val="0"/>
          <w:tblHeader w:val="0"/>
        </w:trPr>
        <w:tc>
          <w:tcPr/>
          <w:p w:rsidR="00000000" w:rsidDel="00000000" w:rsidP="00000000" w:rsidRDefault="00000000" w:rsidRPr="00000000" w14:paraId="000000AA">
            <w:pPr>
              <w:jc w:val="left"/>
              <w:rPr>
                <w:b w:val="1"/>
              </w:rPr>
            </w:pPr>
            <w:r w:rsidDel="00000000" w:rsidR="00000000" w:rsidRPr="00000000">
              <w:rPr>
                <w:b w:val="1"/>
                <w:rtl w:val="0"/>
              </w:rPr>
              <w:t xml:space="preserve">Precedenti pareri del Comitato </w:t>
            </w:r>
          </w:p>
        </w:tc>
        <w:tc>
          <w:tcPr/>
          <w:p w:rsidR="00000000" w:rsidDel="00000000" w:rsidP="00000000" w:rsidRDefault="00000000" w:rsidRPr="00000000" w14:paraId="000000AB">
            <w:pPr>
              <w:rPr/>
            </w:pPr>
            <w:r w:rsidDel="00000000" w:rsidR="00000000" w:rsidRPr="00000000">
              <w:rPr>
                <w:rtl w:val="0"/>
              </w:rPr>
              <w:t xml:space="preserve">L'Europa digitale per tutti: soluzioni intelligenti e inclusive sul terreno</w:t>
            </w:r>
            <w:r w:rsidDel="00000000" w:rsidR="00000000" w:rsidRPr="00000000">
              <w:rPr>
                <w:sz w:val="24"/>
                <w:szCs w:val="24"/>
                <w:vertAlign w:val="superscript"/>
              </w:rPr>
              <w:footnoteReference w:customMarkFollows="0" w:id="16"/>
            </w: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Una strategia per il futuro digitale dell'Europa e una strategia europea per i dati</w:t>
            </w:r>
            <w:r w:rsidDel="00000000" w:rsidR="00000000" w:rsidRPr="00000000">
              <w:rPr>
                <w:sz w:val="24"/>
                <w:szCs w:val="24"/>
                <w:vertAlign w:val="superscript"/>
              </w:rPr>
              <w:footnoteReference w:customMarkFollows="0" w:id="17"/>
            </w:r>
            <w:r w:rsidDel="00000000" w:rsidR="00000000" w:rsidRPr="00000000">
              <w:rPr>
                <w:rtl w:val="0"/>
              </w:rPr>
            </w:r>
          </w:p>
        </w:tc>
      </w:tr>
      <w:tr>
        <w:trPr>
          <w:cantSplit w:val="0"/>
          <w:tblHeader w:val="0"/>
        </w:trPr>
        <w:tc>
          <w:tcPr/>
          <w:p w:rsidR="00000000" w:rsidDel="00000000" w:rsidP="00000000" w:rsidRDefault="00000000" w:rsidRPr="00000000" w14:paraId="000000AD">
            <w:pPr>
              <w:jc w:val="left"/>
              <w:rPr>
                <w:b w:val="1"/>
              </w:rPr>
            </w:pPr>
            <w:r w:rsidDel="00000000" w:rsidR="00000000" w:rsidRPr="00000000">
              <w:rPr>
                <w:b w:val="1"/>
                <w:rtl w:val="0"/>
              </w:rPr>
              <w:t xml:space="preserve">Consultazione della rete di controllo della sussidiarietà</w:t>
            </w:r>
          </w:p>
        </w:tc>
        <w:tc>
          <w:tcPr/>
          <w:p w:rsidR="00000000" w:rsidDel="00000000" w:rsidP="00000000" w:rsidRDefault="00000000" w:rsidRPr="00000000" w14:paraId="000000AE">
            <w:pPr>
              <w:rPr/>
            </w:pPr>
            <w:r w:rsidDel="00000000" w:rsidR="00000000" w:rsidRPr="00000000">
              <w:rPr>
                <w:rtl w:val="0"/>
              </w:rPr>
              <w:t xml:space="preserve">N/P</w:t>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jc w:val="center"/>
        <w:rPr/>
      </w:pPr>
      <w:r w:rsidDel="00000000" w:rsidR="00000000" w:rsidRPr="00000000">
        <w:rPr>
          <w:rtl w:val="0"/>
        </w:rPr>
        <w:t xml:space="preserve">_____________</w:t>
      </w:r>
    </w:p>
    <w:p w:rsidR="00000000" w:rsidDel="00000000" w:rsidP="00000000" w:rsidRDefault="00000000" w:rsidRPr="00000000" w14:paraId="000000B1">
      <w:pPr>
        <w:rPr/>
      </w:pPr>
      <w:r w:rsidDel="00000000" w:rsidR="00000000" w:rsidRPr="00000000">
        <w:rPr>
          <w:rtl w:val="0"/>
        </w:rPr>
      </w:r>
    </w:p>
    <w:sectPr>
      <w:headerReference r:id="rId18" w:type="default"/>
      <w:headerReference r:id="rId19" w:type="first"/>
      <w:headerReference r:id="rId20" w:type="even"/>
      <w:footerReference r:id="rId21" w:type="default"/>
      <w:footerReference r:id="rId22" w:type="first"/>
      <w:footerReference r:id="rId23" w:type="even"/>
      <w:type w:val="nextPage"/>
      <w:pgSz w:h="16839" w:w="11907" w:orient="portrait"/>
      <w:pgMar w:bottom="1417" w:top="1417" w:left="1417" w:right="1417"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COR-2022-00195-00-00-PA-TRA (EN)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COR-2022-00195-00-00-PA-TRA (EN)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2">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tab/>
        <w:t xml:space="preserve">Barometro regionale e locale annuale dell'UE, capitolo IV – "The digital transition at local and regional levels", pag. 63.</w:t>
      </w:r>
    </w:p>
  </w:footnote>
  <w:footnote w:id="1">
    <w:p w:rsidR="00000000" w:rsidDel="00000000" w:rsidP="00000000" w:rsidRDefault="00000000" w:rsidRPr="00000000" w14:paraId="000000B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tab/>
        <w:t xml:space="preserve">Fontana, Susana, Fabio Bisogni (Fondazione FORMIT), Simona Cavallini, Rossella Soldi (Progress Consulting S.r.l.), Territorial foresight study in addressing the digital divide and promoting digital cohesion, 16 maggio 2022 (bozza).</w:t>
      </w:r>
    </w:p>
  </w:footnote>
  <w:footnote w:id="2">
    <w:p w:rsidR="00000000" w:rsidDel="00000000" w:rsidP="00000000" w:rsidRDefault="00000000" w:rsidRPr="00000000" w14:paraId="000000B4">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OECD (2021), Bridging Connectivity Divides, OECD Digital Economy Papers, n. 315, Edizioni OCSE, Parigi. Disponibile online all'indirizzo: </w:t>
      </w:r>
      <w:hyperlink r:id="rId1">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https://doi.org/10.1787/e38f5db7-en</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3">
    <w:p w:rsidR="00000000" w:rsidDel="00000000" w:rsidP="00000000" w:rsidRDefault="00000000" w:rsidRPr="00000000" w14:paraId="000000B5">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Complessivamente, 17,7 milioni di persone vivono su 362 isole con più di 50 abitanti in 15 paesi europei (3,7 milioni di persone nelle regioni ultraperiferiche e oltre 6,6 milioni in Sicilia e Sardegna); in tali regioni il PIL pro capite è inferiore all'80 % della media UE e una percentuale significativa di esse rientra ancora nella categoria di regioni sottosviluppate. (Fonte: </w:t>
      </w:r>
      <w:hyperlink r:id="rId2">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https://www.regione.sicilia.it/la-regione-informa/estimation-insularity-cost-sicily</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4">
    <w:p w:rsidR="00000000" w:rsidDel="00000000" w:rsidP="00000000" w:rsidRDefault="00000000" w:rsidRPr="00000000" w14:paraId="000000B6">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(A9-0144 / 2022-159), </w:t>
      </w:r>
      <w:hyperlink r:id="rId3">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https://oeil.secure.europarl.europa.eu/oeil/popups/ficheprocedure.do?reference=2021/2079(INI)&amp;l=de</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5">
    <w:p w:rsidR="00000000" w:rsidDel="00000000" w:rsidP="00000000" w:rsidRDefault="00000000" w:rsidRPr="00000000" w14:paraId="000000B7">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r>
      <w:hyperlink r:id="rId4">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https://www.gaetanoarmao.eu/wp-content/uploads/An-estimation-of-insularity-cost-in-Sicily.pdf</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6">
    <w:p w:rsidR="00000000" w:rsidDel="00000000" w:rsidP="00000000" w:rsidRDefault="00000000" w:rsidRPr="00000000" w14:paraId="000000B8">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Fonte: 2021 Barometro regionale e locale annuale dell'UE, capitolo IV – The digital transition at local and regional levels, A. The state of the digital transformation, pag. 69.</w:t>
      </w:r>
    </w:p>
  </w:footnote>
  <w:footnote w:id="7">
    <w:p w:rsidR="00000000" w:rsidDel="00000000" w:rsidP="00000000" w:rsidRDefault="00000000" w:rsidRPr="00000000" w14:paraId="000000B9">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Conferenza sul futuro dell'Europa, Relazione sul risultato finale, 12 maggio 2022. Proposta: Rafforzare la competitività dell'UE e approfondire ulteriormente il mercato interno, misura 14, pag. 56.</w:t>
      </w:r>
    </w:p>
  </w:footnote>
  <w:footnote w:id="8">
    <w:p w:rsidR="00000000" w:rsidDel="00000000" w:rsidP="00000000" w:rsidRDefault="00000000" w:rsidRPr="00000000" w14:paraId="000000BA">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Dichiarazione europea sui diritti e i principi digitali, 26 gennaio 2022.</w:t>
      </w:r>
    </w:p>
  </w:footnote>
  <w:footnote w:id="9">
    <w:p w:rsidR="00000000" w:rsidDel="00000000" w:rsidP="00000000" w:rsidRDefault="00000000" w:rsidRPr="00000000" w14:paraId="000000BB">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Cfr. relazione RegHuB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21st Century Rules for 21st Century Infrastructure – Overcoming obstacles to transport, digital, and green infrastructure deployment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disponibile all'indirizzo </w:t>
      </w:r>
      <w:hyperlink r:id="rId5">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https://cor.europa.eu/en/engage/Documents/RegHub/RegHub%20report%20on%2021%20century%20rules.pdf</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10">
    <w:p w:rsidR="00000000" w:rsidDel="00000000" w:rsidP="00000000" w:rsidRDefault="00000000" w:rsidRPr="00000000" w14:paraId="000000BC">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Iclaves &amp; Esade,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Study on post-COVID measures to close the digital divide,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Relazione finale, ottobre 2021.</w:t>
      </w:r>
    </w:p>
  </w:footnote>
  <w:footnote w:id="11">
    <w:p w:rsidR="00000000" w:rsidDel="00000000" w:rsidP="00000000" w:rsidRDefault="00000000" w:rsidRPr="00000000" w14:paraId="000000BD">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r>
      <w:hyperlink r:id="rId6">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https://www.gov.ie/en/publication/51f84-making-remote-work-national-remote-work-strategy/</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12">
    <w:p w:rsidR="00000000" w:rsidDel="00000000" w:rsidP="00000000" w:rsidRDefault="00000000" w:rsidRPr="00000000" w14:paraId="000000BE">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La dichiarazione dei costi diretti del personale per i titolari di PMI che non percepiscono uno stipendio e per le altre persone fisiche che non percepiscono uno stipendio si basa su costi unitari equivalenti a uno stipendio per i ricercatori (</w:t>
      </w:r>
      <w:hyperlink r:id="rId7">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https://ec.europa.eu/info/funding-tenders/opportunities/docs/2021-2027/common/guidance/unit-cost-decision-sme-owners-natural-persons_en.pdf</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r>
    </w:p>
  </w:footnote>
  <w:footnote w:id="13">
    <w:p w:rsidR="00000000" w:rsidDel="00000000" w:rsidP="00000000" w:rsidRDefault="00000000" w:rsidRPr="00000000" w14:paraId="000000BF">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Nel 2019, il 95 % delle famiglie era raggiunto dalla banda larga di base su rete fissa, una percentuale in linea con la media italiana, mentre il 79 % delle famiglie è potenzialmente raggiunto da una connessione a banda larga veloce su rete fissa (pari ad almeno 30 Mbps, rispetto alla media nazionale del 68,5 %). Per la banda larga ultraveloce (connessioni superiori a 100 Mbps), il dato siciliano (è potenzialmente raggiunto il 55 % delle famiglie) supera di quasi 20 punti percentuali la media nazionale (36,8 %).</w:t>
      </w:r>
    </w:p>
  </w:footnote>
  <w:footnote w:id="14">
    <w:p w:rsidR="00000000" w:rsidDel="00000000" w:rsidP="00000000" w:rsidRDefault="00000000" w:rsidRPr="00000000" w14:paraId="000000C0">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r>
      <w:hyperlink r:id="rId8">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https://informacovid.opendatasicilia.it/</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p>
  </w:footnote>
  <w:footnote w:id="15">
    <w:p w:rsidR="00000000" w:rsidDel="00000000" w:rsidP="00000000" w:rsidRDefault="00000000" w:rsidRPr="00000000" w14:paraId="000000C1">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Parere del CdR 2682/2021 sul tema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Approccio europeo in materia di intelligenza artificiale – Legge sull'intelligenza artificiale (parere riveduto)</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 relatore: Guido Rink (NL/PSE), adottato il 2 dicembre 2021.</w:t>
      </w:r>
    </w:p>
  </w:footnote>
  <w:footnote w:id="16">
    <w:p w:rsidR="00000000" w:rsidDel="00000000" w:rsidP="00000000" w:rsidRDefault="00000000" w:rsidRPr="00000000" w14:paraId="000000C2">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tab/>
      </w:r>
      <w:hyperlink r:id="rId9">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GU C 39 del 5.2.2020, pag. 83</w:t>
        </w:r>
      </w:hyperlink>
      <w:r w:rsidDel="00000000" w:rsidR="00000000" w:rsidRPr="00000000">
        <w:rPr>
          <w:rtl w:val="0"/>
        </w:rPr>
      </w:r>
    </w:p>
  </w:footnote>
  <w:footnote w:id="17">
    <w:p w:rsidR="00000000" w:rsidDel="00000000" w:rsidP="00000000" w:rsidRDefault="00000000" w:rsidRPr="00000000" w14:paraId="000000C3">
      <w:pPr>
        <w:keepNext w:val="0"/>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567" w:right="0" w:hanging="567"/>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tab/>
      </w:r>
      <w:hyperlink r:id="rId10">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GU C 440 del 18.12.2020, pag. 71</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Roman"/>
      <w:lvlText w:val="%1."/>
      <w:lvlJc w:val="left"/>
      <w:pPr>
        <w:ind w:left="360" w:hanging="360"/>
      </w:pPr>
      <w:rPr>
        <w:b w:val="1"/>
        <w:i w:val="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2.%3.%4.%5.%6.%7.%8.%9"/>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t-IT"/>
      </w:rPr>
    </w:rPrDefault>
    <w:pPrDefault>
      <w:pPr>
        <w:spacing w:line="288"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0" w:firstLine="0"/>
    </w:pPr>
    <w:rPr/>
  </w:style>
  <w:style w:type="paragraph" w:styleId="Heading2">
    <w:name w:val="heading 2"/>
    <w:basedOn w:val="Normal"/>
    <w:next w:val="Normal"/>
    <w:pPr>
      <w:ind w:left="720" w:hanging="720"/>
    </w:pPr>
    <w:rPr/>
  </w:style>
  <w:style w:type="paragraph" w:styleId="Heading3">
    <w:name w:val="heading 3"/>
    <w:basedOn w:val="Normal"/>
    <w:next w:val="Normal"/>
    <w:pPr>
      <w:ind w:left="720" w:hanging="720"/>
    </w:pPr>
    <w:rPr/>
  </w:style>
  <w:style w:type="paragraph" w:styleId="Heading4">
    <w:name w:val="heading 4"/>
    <w:basedOn w:val="Normal"/>
    <w:next w:val="Normal"/>
    <w:pPr>
      <w:ind w:left="720" w:hanging="720"/>
    </w:pPr>
    <w:rPr/>
  </w:style>
  <w:style w:type="paragraph" w:styleId="Heading5">
    <w:name w:val="heading 5"/>
    <w:basedOn w:val="Normal"/>
    <w:next w:val="Normal"/>
    <w:pPr>
      <w:ind w:left="720" w:hanging="720"/>
    </w:pPr>
    <w:rPr/>
  </w:style>
  <w:style w:type="paragraph" w:styleId="Heading6">
    <w:name w:val="heading 6"/>
    <w:basedOn w:val="Normal"/>
    <w:next w:val="Normal"/>
    <w:pPr>
      <w:ind w:left="720" w:hanging="720"/>
    </w:pPr>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11" Type="http://schemas.openxmlformats.org/officeDocument/2006/relationships/image" Target="media/image1.png"/><Relationship Id="rId22" Type="http://schemas.openxmlformats.org/officeDocument/2006/relationships/footer" Target="footer2.xml"/><Relationship Id="rId10" Type="http://schemas.openxmlformats.org/officeDocument/2006/relationships/hyperlink" Target="https://memportal.cor.europa.eu/" TargetMode="External"/><Relationship Id="rId21" Type="http://schemas.openxmlformats.org/officeDocument/2006/relationships/footer" Target="footer5.xml"/><Relationship Id="rId13" Type="http://schemas.openxmlformats.org/officeDocument/2006/relationships/header" Target="header3.xml"/><Relationship Id="rId12" Type="http://schemas.openxmlformats.org/officeDocument/2006/relationships/header" Target="header1.xml"/><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mportal.cor.europa.eu/" TargetMode="External"/><Relationship Id="rId15" Type="http://schemas.openxmlformats.org/officeDocument/2006/relationships/footer" Target="footer4.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header" Target="header6.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image" Target="media/image3.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doi.org/10.1787/e38f5db7-en" TargetMode="External"/><Relationship Id="rId2" Type="http://schemas.openxmlformats.org/officeDocument/2006/relationships/hyperlink" Target="https://www.regione.sicilia.it/la-regione-informa/estimation-insularity-cost-sicily" TargetMode="External"/><Relationship Id="rId3" Type="http://schemas.openxmlformats.org/officeDocument/2006/relationships/hyperlink" Target="https://oeil.secure.europarl.europa.eu/oeil/popups/ficheprocedure.do?reference=2021/2079(INI)&amp;l=de" TargetMode="External"/><Relationship Id="rId4" Type="http://schemas.openxmlformats.org/officeDocument/2006/relationships/hyperlink" Target="https://www.gaetanoarmao.eu/wp-content/uploads/An-estimation-of-insularity-cost-in-Sicily.pdf" TargetMode="External"/><Relationship Id="rId10" Type="http://schemas.openxmlformats.org/officeDocument/2006/relationships/hyperlink" Target="https://eur-lex.europa.eu/LexUriServ/LexUriServ.do?uri=OJ:C:2020:440:SOM:IT:HTML" TargetMode="External"/><Relationship Id="rId9" Type="http://schemas.openxmlformats.org/officeDocument/2006/relationships/hyperlink" Target="https://eur-lex.europa.eu/LexUriServ/LexUriServ.do?uri=OJ:C:2020:039:SOM:IT:HTML" TargetMode="External"/><Relationship Id="rId5" Type="http://schemas.openxmlformats.org/officeDocument/2006/relationships/hyperlink" Target="https://cor.europa.eu/en/engage/Documents/RegHub/RegHub%20report%20on%2021%20century%20rules.pdf" TargetMode="External"/><Relationship Id="rId6" Type="http://schemas.openxmlformats.org/officeDocument/2006/relationships/hyperlink" Target="https://www.gov.ie/en/publication/51f84-making-remote-work-national-remote-work-strategy/" TargetMode="External"/><Relationship Id="rId7" Type="http://schemas.openxmlformats.org/officeDocument/2006/relationships/hyperlink" Target="https://ec.europa.eu/info/funding-tenders/opportunities/docs/2021-2027/common/guidance/unit-cost-decision-sme-owners-natural-persons_en.pdf" TargetMode="External"/><Relationship Id="rId8" Type="http://schemas.openxmlformats.org/officeDocument/2006/relationships/hyperlink" Target="https://informacovid.opendatasicil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