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COMUNICATO STAMPA</w:t>
      </w:r>
      <w:r w:rsidDel="00000000" w:rsidR="00000000" w:rsidRPr="00000000">
        <w:rPr>
          <w:rtl w:val="0"/>
        </w:rPr>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Export: Turchia, opportunità per le imprese italiane</w:t>
      </w:r>
    </w:p>
    <w:p w:rsidR="00000000" w:rsidDel="00000000" w:rsidP="00000000" w:rsidRDefault="00000000" w:rsidRPr="00000000" w14:paraId="00000003">
      <w:pPr>
        <w:spacing w:after="280" w:before="28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Il Sistema Camerale al fianco delle imprese per rafforzare la conoscenza del mercato turco </w:t>
      </w:r>
    </w:p>
    <w:p w:rsidR="00000000" w:rsidDel="00000000" w:rsidP="00000000" w:rsidRDefault="00000000" w:rsidRPr="00000000" w14:paraId="00000004">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delle opportunità di cooperazione industriale</w:t>
      </w:r>
      <w:r w:rsidDel="00000000" w:rsidR="00000000" w:rsidRPr="00000000">
        <w:rPr>
          <w:rtl w:val="0"/>
        </w:rPr>
      </w:r>
    </w:p>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Roma, 28 maggio 2026</w:t>
      </w:r>
      <w:r w:rsidDel="00000000" w:rsidR="00000000" w:rsidRPr="00000000">
        <w:rPr>
          <w:rFonts w:ascii="Times New Roman" w:cs="Times New Roman" w:eastAsia="Times New Roman" w:hAnsi="Times New Roman"/>
          <w:sz w:val="24"/>
          <w:szCs w:val="24"/>
          <w:rtl w:val="0"/>
        </w:rPr>
        <w:t xml:space="preserve"> – Si è tenuta oggi a Roma, presso il </w:t>
      </w:r>
      <w:r w:rsidDel="00000000" w:rsidR="00000000" w:rsidRPr="00000000">
        <w:rPr>
          <w:rFonts w:ascii="Times New Roman" w:cs="Times New Roman" w:eastAsia="Times New Roman" w:hAnsi="Times New Roman"/>
          <w:b w:val="1"/>
          <w:bCs w:val="1"/>
          <w:sz w:val="24"/>
          <w:szCs w:val="24"/>
          <w:rtl w:val="0"/>
        </w:rPr>
        <w:t xml:space="preserve">Centro Culturale Turco – Yunus Emre Enstitüsü</w:t>
      </w:r>
      <w:r w:rsidDel="00000000" w:rsidR="00000000" w:rsidRPr="00000000">
        <w:rPr>
          <w:rFonts w:ascii="Times New Roman" w:cs="Times New Roman" w:eastAsia="Times New Roman" w:hAnsi="Times New Roman"/>
          <w:sz w:val="24"/>
          <w:szCs w:val="24"/>
          <w:rtl w:val="0"/>
        </w:rPr>
        <w:t xml:space="preserve">, la </w:t>
      </w:r>
      <w:r w:rsidDel="00000000" w:rsidR="00000000" w:rsidRPr="00000000">
        <w:rPr>
          <w:rFonts w:ascii="Times New Roman" w:cs="Times New Roman" w:eastAsia="Times New Roman" w:hAnsi="Times New Roman"/>
          <w:b w:val="1"/>
          <w:bCs w:val="1"/>
          <w:sz w:val="24"/>
          <w:szCs w:val="24"/>
          <w:rtl w:val="0"/>
        </w:rPr>
        <w:t xml:space="preserve">Country Presentation Turchia</w:t>
      </w:r>
      <w:r w:rsidDel="00000000" w:rsidR="00000000" w:rsidRPr="00000000">
        <w:rPr>
          <w:rFonts w:ascii="Times New Roman" w:cs="Times New Roman" w:eastAsia="Times New Roman" w:hAnsi="Times New Roman"/>
          <w:sz w:val="24"/>
          <w:szCs w:val="24"/>
          <w:rtl w:val="0"/>
        </w:rPr>
        <w:t xml:space="preserve">, iniziativa dedicata alle opportunità di internazionalizzazione per le imprese italiane interessate al mercato turco.</w:t>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L’evento, organizzato da </w:t>
      </w:r>
      <w:r w:rsidDel="00000000" w:rsidR="00000000" w:rsidRPr="00000000">
        <w:rPr>
          <w:rFonts w:ascii="Times New Roman" w:cs="Times New Roman" w:eastAsia="Times New Roman" w:hAnsi="Times New Roman"/>
          <w:b w:val="1"/>
          <w:bCs w:val="1"/>
          <w:sz w:val="24"/>
          <w:szCs w:val="24"/>
          <w:rtl w:val="0"/>
        </w:rPr>
        <w:t xml:space="preserve">Unioncamere, Invest in Türkiye e SIMEST</w:t>
      </w:r>
      <w:r w:rsidDel="00000000" w:rsidR="00000000" w:rsidRPr="00000000">
        <w:rPr>
          <w:rFonts w:ascii="Times New Roman" w:cs="Times New Roman" w:eastAsia="Times New Roman" w:hAnsi="Times New Roman"/>
          <w:sz w:val="24"/>
          <w:szCs w:val="24"/>
          <w:rtl w:val="0"/>
        </w:rPr>
        <w:t xml:space="preserve">, ha riunito rappresentanti istituzionali italiani e turchi, enti del Sistema Italia e operatori economici impegnati nel supporto all’export e alla cooperazione industriale. L’incontro ha offerto alle imprese una lettura aggiornata del mercato turco, dei settori a maggiore potenziale e degli strumenti disponibili per avviare o consolidare percorsi di crescita internazionale.</w:t>
      </w:r>
    </w:p>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b w:val="1"/>
          <w:bCs w:val="1"/>
          <w:sz w:val="24"/>
          <w:szCs w:val="24"/>
          <w:rtl w:val="0"/>
        </w:rPr>
        <w:t xml:space="preserve">Turchia</w:t>
      </w:r>
      <w:r w:rsidDel="00000000" w:rsidR="00000000" w:rsidRPr="00000000">
        <w:rPr>
          <w:rFonts w:ascii="Times New Roman" w:cs="Times New Roman" w:eastAsia="Times New Roman" w:hAnsi="Times New Roman"/>
          <w:sz w:val="24"/>
          <w:szCs w:val="24"/>
          <w:rtl w:val="0"/>
        </w:rPr>
        <w:t xml:space="preserve"> si conferma un partner strategico per l’economia italiana ed è inserita tra i </w:t>
      </w:r>
      <w:r w:rsidDel="00000000" w:rsidR="00000000" w:rsidRPr="00000000">
        <w:rPr>
          <w:rFonts w:ascii="Times New Roman" w:cs="Times New Roman" w:eastAsia="Times New Roman" w:hAnsi="Times New Roman"/>
          <w:b w:val="1"/>
          <w:bCs w:val="1"/>
          <w:sz w:val="24"/>
          <w:szCs w:val="24"/>
          <w:rtl w:val="0"/>
        </w:rPr>
        <w:t xml:space="preserve">mercati emergenti e ad alto potenziale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del Piano di azione per l’export della Farnesina.</w:t>
      </w:r>
      <w:r w:rsidDel="00000000" w:rsidR="00000000" w:rsidRPr="00000000">
        <w:rPr>
          <w:rFonts w:ascii="Times New Roman" w:cs="Times New Roman" w:eastAsia="Times New Roman" w:hAnsi="Times New Roman"/>
          <w:sz w:val="24"/>
          <w:szCs w:val="24"/>
          <w:rtl w:val="0"/>
        </w:rPr>
        <w:t xml:space="preserve"> La posizione geografica del Paese, il ruolo di ponte tra Europa, Asia e Medio Oriente e la presenza di filiere industriali dinamiche rendono il mercato turco un interlocutore di particolare interesse per le imprese italiane, sia in chiave commerciale sia in termini di collaborazione produttiva e tecnologica.</w:t>
      </w:r>
    </w:p>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Secondo le elaborazioni di </w:t>
      </w:r>
      <w:r w:rsidDel="00000000" w:rsidR="00000000" w:rsidRPr="00000000">
        <w:rPr>
          <w:rFonts w:ascii="Times New Roman" w:cs="Times New Roman" w:eastAsia="Times New Roman" w:hAnsi="Times New Roman"/>
          <w:b w:val="1"/>
          <w:bCs w:val="1"/>
          <w:sz w:val="24"/>
          <w:szCs w:val="24"/>
          <w:rtl w:val="0"/>
        </w:rPr>
        <w:t xml:space="preserve">Promos </w:t>
      </w:r>
      <w:r w:rsidDel="00000000" w:rsidR="00000000" w:rsidRPr="00000000">
        <w:rPr>
          <w:rFonts w:ascii="Times New Roman" w:cs="Times New Roman" w:eastAsia="Times New Roman" w:hAnsi="Times New Roman"/>
          <w:b w:val="1"/>
          <w:bCs w:val="1"/>
          <w:sz w:val="24"/>
          <w:szCs w:val="24"/>
          <w:rtl w:val="0"/>
        </w:rPr>
        <w:t xml:space="preserve">Italia</w:t>
      </w:r>
      <w:r w:rsidDel="00000000" w:rsidR="00000000" w:rsidRPr="00000000">
        <w:rPr>
          <w:rFonts w:ascii="Times New Roman" w:cs="Times New Roman" w:eastAsia="Times New Roman" w:hAnsi="Times New Roman"/>
          <w:b w:val="1"/>
          <w:bCs w:val="1"/>
          <w:sz w:val="24"/>
          <w:szCs w:val="24"/>
          <w:rtl w:val="0"/>
        </w:rPr>
        <w:t xml:space="preserve"> su dati Istat Coeweb 2025 e 2024</w:t>
      </w:r>
      <w:r w:rsidDel="00000000" w:rsidR="00000000" w:rsidRPr="00000000">
        <w:rPr>
          <w:rFonts w:ascii="Times New Roman" w:cs="Times New Roman" w:eastAsia="Times New Roman" w:hAnsi="Times New Roman"/>
          <w:sz w:val="24"/>
          <w:szCs w:val="24"/>
          <w:rtl w:val="0"/>
        </w:rPr>
        <w:t xml:space="preserve">, nel 2025 l’export italiano verso la Turchia ha raggiunto </w:t>
      </w:r>
      <w:r w:rsidDel="00000000" w:rsidR="00000000" w:rsidRPr="00000000">
        <w:rPr>
          <w:rFonts w:ascii="Times New Roman" w:cs="Times New Roman" w:eastAsia="Times New Roman" w:hAnsi="Times New Roman"/>
          <w:b w:val="1"/>
          <w:bCs w:val="1"/>
          <w:sz w:val="24"/>
          <w:szCs w:val="24"/>
          <w:rtl w:val="0"/>
        </w:rPr>
        <w:t xml:space="preserve">13,7 miliardi di euro</w:t>
      </w:r>
      <w:r w:rsidDel="00000000" w:rsidR="00000000" w:rsidRPr="00000000">
        <w:rPr>
          <w:rFonts w:ascii="Times New Roman" w:cs="Times New Roman" w:eastAsia="Times New Roman" w:hAnsi="Times New Roman"/>
          <w:sz w:val="24"/>
          <w:szCs w:val="24"/>
          <w:rtl w:val="0"/>
        </w:rPr>
        <w:t xml:space="preserve">, I principali settori dell’export manifatturiero italiano verso il mercato turco sono i </w:t>
      </w:r>
      <w:r w:rsidDel="00000000" w:rsidR="00000000" w:rsidRPr="00000000">
        <w:rPr>
          <w:rFonts w:ascii="Times New Roman" w:cs="Times New Roman" w:eastAsia="Times New Roman" w:hAnsi="Times New Roman"/>
          <w:b w:val="1"/>
          <w:bCs w:val="1"/>
          <w:sz w:val="24"/>
          <w:szCs w:val="24"/>
          <w:rtl w:val="0"/>
        </w:rPr>
        <w:t xml:space="preserve">macchinari</w:t>
      </w:r>
      <w:r w:rsidDel="00000000" w:rsidR="00000000" w:rsidRPr="00000000">
        <w:rPr>
          <w:rFonts w:ascii="Times New Roman" w:cs="Times New Roman" w:eastAsia="Times New Roman" w:hAnsi="Times New Roman"/>
          <w:sz w:val="24"/>
          <w:szCs w:val="24"/>
          <w:rtl w:val="0"/>
        </w:rPr>
        <w:t xml:space="preserve">, con circa </w:t>
      </w:r>
      <w:r w:rsidDel="00000000" w:rsidR="00000000" w:rsidRPr="00000000">
        <w:rPr>
          <w:rFonts w:ascii="Times New Roman" w:cs="Times New Roman" w:eastAsia="Times New Roman" w:hAnsi="Times New Roman"/>
          <w:b w:val="1"/>
          <w:bCs w:val="1"/>
          <w:sz w:val="24"/>
          <w:szCs w:val="24"/>
          <w:rtl w:val="0"/>
        </w:rPr>
        <w:t xml:space="preserve">3 miliardi di euro</w:t>
      </w:r>
      <w:r w:rsidDel="00000000" w:rsidR="00000000" w:rsidRPr="00000000">
        <w:rPr>
          <w:rFonts w:ascii="Times New Roman" w:cs="Times New Roman" w:eastAsia="Times New Roman" w:hAnsi="Times New Roman"/>
          <w:sz w:val="24"/>
          <w:szCs w:val="24"/>
          <w:rtl w:val="0"/>
        </w:rPr>
        <w:t xml:space="preserve">, l’</w:t>
      </w:r>
      <w:r w:rsidDel="00000000" w:rsidR="00000000" w:rsidRPr="00000000">
        <w:rPr>
          <w:rFonts w:ascii="Times New Roman" w:cs="Times New Roman" w:eastAsia="Times New Roman" w:hAnsi="Times New Roman"/>
          <w:b w:val="1"/>
          <w:bCs w:val="1"/>
          <w:sz w:val="24"/>
          <w:szCs w:val="24"/>
          <w:rtl w:val="0"/>
        </w:rPr>
        <w:t xml:space="preserve">altro manifatturiero</w:t>
      </w:r>
      <w:r w:rsidDel="00000000" w:rsidR="00000000" w:rsidRPr="00000000">
        <w:rPr>
          <w:rFonts w:ascii="Times New Roman" w:cs="Times New Roman" w:eastAsia="Times New Roman" w:hAnsi="Times New Roman"/>
          <w:sz w:val="24"/>
          <w:szCs w:val="24"/>
          <w:rtl w:val="0"/>
        </w:rPr>
        <w:t xml:space="preserve">, con </w:t>
      </w:r>
      <w:r w:rsidDel="00000000" w:rsidR="00000000" w:rsidRPr="00000000">
        <w:rPr>
          <w:rFonts w:ascii="Times New Roman" w:cs="Times New Roman" w:eastAsia="Times New Roman" w:hAnsi="Times New Roman"/>
          <w:b w:val="1"/>
          <w:bCs w:val="1"/>
          <w:sz w:val="24"/>
          <w:szCs w:val="24"/>
          <w:rtl w:val="0"/>
        </w:rPr>
        <w:t xml:space="preserve">2,3 miliardi</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b w:val="1"/>
          <w:bCs w:val="1"/>
          <w:sz w:val="24"/>
          <w:szCs w:val="24"/>
          <w:rtl w:val="0"/>
        </w:rPr>
        <w:t xml:space="preserve">mezzi di trasporto</w:t>
      </w:r>
      <w:r w:rsidDel="00000000" w:rsidR="00000000" w:rsidRPr="00000000">
        <w:rPr>
          <w:rFonts w:ascii="Times New Roman" w:cs="Times New Roman" w:eastAsia="Times New Roman" w:hAnsi="Times New Roman"/>
          <w:sz w:val="24"/>
          <w:szCs w:val="24"/>
          <w:rtl w:val="0"/>
        </w:rPr>
        <w:t xml:space="preserve">, con </w:t>
      </w:r>
      <w:r w:rsidDel="00000000" w:rsidR="00000000" w:rsidRPr="00000000">
        <w:rPr>
          <w:rFonts w:ascii="Times New Roman" w:cs="Times New Roman" w:eastAsia="Times New Roman" w:hAnsi="Times New Roman"/>
          <w:b w:val="1"/>
          <w:bCs w:val="1"/>
          <w:sz w:val="24"/>
          <w:szCs w:val="24"/>
          <w:rtl w:val="0"/>
        </w:rPr>
        <w:t xml:space="preserve">1,7 miliardi</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b w:val="1"/>
          <w:bCs w:val="1"/>
          <w:sz w:val="24"/>
          <w:szCs w:val="24"/>
          <w:rtl w:val="0"/>
        </w:rPr>
        <w:t xml:space="preserve">metalli</w:t>
      </w:r>
      <w:r w:rsidDel="00000000" w:rsidR="00000000" w:rsidRPr="00000000">
        <w:rPr>
          <w:rFonts w:ascii="Times New Roman" w:cs="Times New Roman" w:eastAsia="Times New Roman" w:hAnsi="Times New Roman"/>
          <w:sz w:val="24"/>
          <w:szCs w:val="24"/>
          <w:rtl w:val="0"/>
        </w:rPr>
        <w:t xml:space="preserve">, con </w:t>
      </w:r>
      <w:r w:rsidDel="00000000" w:rsidR="00000000" w:rsidRPr="00000000">
        <w:rPr>
          <w:rFonts w:ascii="Times New Roman" w:cs="Times New Roman" w:eastAsia="Times New Roman" w:hAnsi="Times New Roman"/>
          <w:b w:val="1"/>
          <w:bCs w:val="1"/>
          <w:sz w:val="24"/>
          <w:szCs w:val="24"/>
          <w:rtl w:val="0"/>
        </w:rPr>
        <w:t xml:space="preserve">1,2 miliardi</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b w:val="1"/>
          <w:bCs w:val="1"/>
          <w:sz w:val="24"/>
          <w:szCs w:val="24"/>
          <w:rtl w:val="0"/>
        </w:rPr>
        <w:t xml:space="preserve">prodotti chimici</w:t>
      </w:r>
      <w:r w:rsidDel="00000000" w:rsidR="00000000" w:rsidRPr="00000000">
        <w:rPr>
          <w:rFonts w:ascii="Times New Roman" w:cs="Times New Roman" w:eastAsia="Times New Roman" w:hAnsi="Times New Roman"/>
          <w:sz w:val="24"/>
          <w:szCs w:val="24"/>
          <w:rtl w:val="0"/>
        </w:rPr>
        <w:t xml:space="preserve">, con </w:t>
      </w:r>
      <w:r w:rsidDel="00000000" w:rsidR="00000000" w:rsidRPr="00000000">
        <w:rPr>
          <w:rFonts w:ascii="Times New Roman" w:cs="Times New Roman" w:eastAsia="Times New Roman" w:hAnsi="Times New Roman"/>
          <w:b w:val="1"/>
          <w:bCs w:val="1"/>
          <w:sz w:val="24"/>
          <w:szCs w:val="24"/>
          <w:rtl w:val="0"/>
        </w:rPr>
        <w:t xml:space="preserve">1,2 miliardi</w:t>
      </w:r>
      <w:r w:rsidDel="00000000" w:rsidR="00000000" w:rsidRPr="00000000">
        <w:rPr>
          <w:rFonts w:ascii="Times New Roman" w:cs="Times New Roman" w:eastAsia="Times New Roman" w:hAnsi="Times New Roman"/>
          <w:sz w:val="24"/>
          <w:szCs w:val="24"/>
          <w:rtl w:val="0"/>
        </w:rPr>
        <w:t xml:space="preserve">, e il </w:t>
      </w:r>
      <w:r w:rsidDel="00000000" w:rsidR="00000000" w:rsidRPr="00000000">
        <w:rPr>
          <w:rFonts w:ascii="Times New Roman" w:cs="Times New Roman" w:eastAsia="Times New Roman" w:hAnsi="Times New Roman"/>
          <w:b w:val="1"/>
          <w:bCs w:val="1"/>
          <w:sz w:val="24"/>
          <w:szCs w:val="24"/>
          <w:rtl w:val="0"/>
        </w:rPr>
        <w:t xml:space="preserve">tessile</w:t>
      </w:r>
      <w:r w:rsidDel="00000000" w:rsidR="00000000" w:rsidRPr="00000000">
        <w:rPr>
          <w:rFonts w:ascii="Times New Roman" w:cs="Times New Roman" w:eastAsia="Times New Roman" w:hAnsi="Times New Roman"/>
          <w:sz w:val="24"/>
          <w:szCs w:val="24"/>
          <w:rtl w:val="0"/>
        </w:rPr>
        <w:t xml:space="preserve">, anch’esso con circa </w:t>
      </w:r>
      <w:r w:rsidDel="00000000" w:rsidR="00000000" w:rsidRPr="00000000">
        <w:rPr>
          <w:rFonts w:ascii="Times New Roman" w:cs="Times New Roman" w:eastAsia="Times New Roman" w:hAnsi="Times New Roman"/>
          <w:b w:val="1"/>
          <w:bCs w:val="1"/>
          <w:sz w:val="24"/>
          <w:szCs w:val="24"/>
          <w:rtl w:val="0"/>
        </w:rPr>
        <w:t xml:space="preserve">1,2 miliardi</w:t>
      </w:r>
      <w:r w:rsidDel="00000000" w:rsidR="00000000" w:rsidRPr="00000000">
        <w:rPr>
          <w:rFonts w:ascii="Times New Roman" w:cs="Times New Roman" w:eastAsia="Times New Roman" w:hAnsi="Times New Roman"/>
          <w:sz w:val="24"/>
          <w:szCs w:val="24"/>
          <w:rtl w:val="0"/>
        </w:rPr>
        <w:t xml:space="preserve">. La </w:t>
      </w:r>
      <w:r w:rsidDel="00000000" w:rsidR="00000000" w:rsidRPr="00000000">
        <w:rPr>
          <w:rFonts w:ascii="Times New Roman" w:cs="Times New Roman" w:eastAsia="Times New Roman" w:hAnsi="Times New Roman"/>
          <w:b w:val="1"/>
          <w:bCs w:val="1"/>
          <w:sz w:val="24"/>
          <w:szCs w:val="24"/>
          <w:rtl w:val="0"/>
        </w:rPr>
        <w:t xml:space="preserve">Lombardia</w:t>
      </w:r>
      <w:r w:rsidDel="00000000" w:rsidR="00000000" w:rsidRPr="00000000">
        <w:rPr>
          <w:rFonts w:ascii="Times New Roman" w:cs="Times New Roman" w:eastAsia="Times New Roman" w:hAnsi="Times New Roman"/>
          <w:sz w:val="24"/>
          <w:szCs w:val="24"/>
          <w:rtl w:val="0"/>
        </w:rPr>
        <w:t xml:space="preserve"> contribuisce in modo significativo agli scambi, con </w:t>
      </w:r>
      <w:r w:rsidDel="00000000" w:rsidR="00000000" w:rsidRPr="00000000">
        <w:rPr>
          <w:rFonts w:ascii="Times New Roman" w:cs="Times New Roman" w:eastAsia="Times New Roman" w:hAnsi="Times New Roman"/>
          <w:b w:val="1"/>
          <w:bCs w:val="1"/>
          <w:sz w:val="24"/>
          <w:szCs w:val="24"/>
          <w:rtl w:val="0"/>
        </w:rPr>
        <w:t xml:space="preserve">3,3 miliardi di euro</w:t>
      </w:r>
      <w:r w:rsidDel="00000000" w:rsidR="00000000" w:rsidRPr="00000000">
        <w:rPr>
          <w:rFonts w:ascii="Times New Roman" w:cs="Times New Roman" w:eastAsia="Times New Roman" w:hAnsi="Times New Roman"/>
          <w:sz w:val="24"/>
          <w:szCs w:val="24"/>
          <w:rtl w:val="0"/>
        </w:rPr>
        <w:t xml:space="preserve"> di export verso la Turchia, di cui </w:t>
      </w:r>
      <w:r w:rsidDel="00000000" w:rsidR="00000000" w:rsidRPr="00000000">
        <w:rPr>
          <w:rFonts w:ascii="Times New Roman" w:cs="Times New Roman" w:eastAsia="Times New Roman" w:hAnsi="Times New Roman"/>
          <w:b w:val="1"/>
          <w:bCs w:val="1"/>
          <w:sz w:val="24"/>
          <w:szCs w:val="24"/>
          <w:rtl w:val="0"/>
        </w:rPr>
        <w:t xml:space="preserve">1,2 miliardi</w:t>
      </w:r>
      <w:r w:rsidDel="00000000" w:rsidR="00000000" w:rsidRPr="00000000">
        <w:rPr>
          <w:rFonts w:ascii="Times New Roman" w:cs="Times New Roman" w:eastAsia="Times New Roman" w:hAnsi="Times New Roman"/>
          <w:sz w:val="24"/>
          <w:szCs w:val="24"/>
          <w:rtl w:val="0"/>
        </w:rPr>
        <w:t xml:space="preserve"> generati da </w:t>
      </w:r>
      <w:r w:rsidDel="00000000" w:rsidR="00000000" w:rsidRPr="00000000">
        <w:rPr>
          <w:rFonts w:ascii="Times New Roman" w:cs="Times New Roman" w:eastAsia="Times New Roman" w:hAnsi="Times New Roman"/>
          <w:b w:val="1"/>
          <w:bCs w:val="1"/>
          <w:sz w:val="24"/>
          <w:szCs w:val="24"/>
          <w:rtl w:val="0"/>
        </w:rPr>
        <w:t xml:space="preserve">Milano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 fronte delle importazioni, l’Italia ha importato dalla Turchia beni per </w:t>
      </w:r>
      <w:r w:rsidDel="00000000" w:rsidR="00000000" w:rsidRPr="00000000">
        <w:rPr>
          <w:rFonts w:ascii="Times New Roman" w:cs="Times New Roman" w:eastAsia="Times New Roman" w:hAnsi="Times New Roman"/>
          <w:b w:val="1"/>
          <w:bCs w:val="1"/>
          <w:sz w:val="24"/>
          <w:szCs w:val="24"/>
          <w:rtl w:val="0"/>
        </w:rPr>
        <w:t xml:space="preserve">12,4 miliardi di euro</w:t>
      </w:r>
      <w:r w:rsidDel="00000000" w:rsidR="00000000" w:rsidRPr="00000000">
        <w:rPr>
          <w:rFonts w:ascii="Times New Roman" w:cs="Times New Roman" w:eastAsia="Times New Roman" w:hAnsi="Times New Roman"/>
          <w:sz w:val="24"/>
          <w:szCs w:val="24"/>
          <w:rtl w:val="0"/>
        </w:rPr>
        <w:t xml:space="preserve">, in crescita del </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in un anno. I principali prodotti importati nel manifatturiero riguardano i </w:t>
      </w:r>
      <w:r w:rsidDel="00000000" w:rsidR="00000000" w:rsidRPr="00000000">
        <w:rPr>
          <w:rFonts w:ascii="Times New Roman" w:cs="Times New Roman" w:eastAsia="Times New Roman" w:hAnsi="Times New Roman"/>
          <w:b w:val="1"/>
          <w:bCs w:val="1"/>
          <w:sz w:val="24"/>
          <w:szCs w:val="24"/>
          <w:rtl w:val="0"/>
        </w:rPr>
        <w:t xml:space="preserve">mezzi di trasporto</w:t>
      </w:r>
      <w:r w:rsidDel="00000000" w:rsidR="00000000" w:rsidRPr="00000000">
        <w:rPr>
          <w:rFonts w:ascii="Times New Roman" w:cs="Times New Roman" w:eastAsia="Times New Roman" w:hAnsi="Times New Roman"/>
          <w:sz w:val="24"/>
          <w:szCs w:val="24"/>
          <w:rtl w:val="0"/>
        </w:rPr>
        <w:t xml:space="preserve">, per circa </w:t>
      </w:r>
      <w:r w:rsidDel="00000000" w:rsidR="00000000" w:rsidRPr="00000000">
        <w:rPr>
          <w:rFonts w:ascii="Times New Roman" w:cs="Times New Roman" w:eastAsia="Times New Roman" w:hAnsi="Times New Roman"/>
          <w:b w:val="1"/>
          <w:bCs w:val="1"/>
          <w:sz w:val="24"/>
          <w:szCs w:val="24"/>
          <w:rtl w:val="0"/>
        </w:rPr>
        <w:t xml:space="preserve">3 miliardi di euro</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b w:val="1"/>
          <w:bCs w:val="1"/>
          <w:sz w:val="24"/>
          <w:szCs w:val="24"/>
          <w:rtl w:val="0"/>
        </w:rPr>
        <w:t xml:space="preserve">metalli</w:t>
      </w:r>
      <w:r w:rsidDel="00000000" w:rsidR="00000000" w:rsidRPr="00000000">
        <w:rPr>
          <w:rFonts w:ascii="Times New Roman" w:cs="Times New Roman" w:eastAsia="Times New Roman" w:hAnsi="Times New Roman"/>
          <w:sz w:val="24"/>
          <w:szCs w:val="24"/>
          <w:rtl w:val="0"/>
        </w:rPr>
        <w:t xml:space="preserve">, per </w:t>
      </w:r>
      <w:r w:rsidDel="00000000" w:rsidR="00000000" w:rsidRPr="00000000">
        <w:rPr>
          <w:rFonts w:ascii="Times New Roman" w:cs="Times New Roman" w:eastAsia="Times New Roman" w:hAnsi="Times New Roman"/>
          <w:b w:val="1"/>
          <w:bCs w:val="1"/>
          <w:sz w:val="24"/>
          <w:szCs w:val="24"/>
          <w:rtl w:val="0"/>
        </w:rPr>
        <w:t xml:space="preserve">2 miliardi</w:t>
      </w:r>
      <w:r w:rsidDel="00000000" w:rsidR="00000000" w:rsidRPr="00000000">
        <w:rPr>
          <w:rFonts w:ascii="Times New Roman" w:cs="Times New Roman" w:eastAsia="Times New Roman" w:hAnsi="Times New Roman"/>
          <w:sz w:val="24"/>
          <w:szCs w:val="24"/>
          <w:rtl w:val="0"/>
        </w:rPr>
        <w:t xml:space="preserve">, e il </w:t>
      </w:r>
      <w:r w:rsidDel="00000000" w:rsidR="00000000" w:rsidRPr="00000000">
        <w:rPr>
          <w:rFonts w:ascii="Times New Roman" w:cs="Times New Roman" w:eastAsia="Times New Roman" w:hAnsi="Times New Roman"/>
          <w:b w:val="1"/>
          <w:bCs w:val="1"/>
          <w:sz w:val="24"/>
          <w:szCs w:val="24"/>
          <w:rtl w:val="0"/>
        </w:rPr>
        <w:t xml:space="preserve">tessile</w:t>
      </w:r>
      <w:r w:rsidDel="00000000" w:rsidR="00000000" w:rsidRPr="00000000">
        <w:rPr>
          <w:rFonts w:ascii="Times New Roman" w:cs="Times New Roman" w:eastAsia="Times New Roman" w:hAnsi="Times New Roman"/>
          <w:sz w:val="24"/>
          <w:szCs w:val="24"/>
          <w:rtl w:val="0"/>
        </w:rPr>
        <w:t xml:space="preserve">, per </w:t>
      </w:r>
      <w:r w:rsidDel="00000000" w:rsidR="00000000" w:rsidRPr="00000000">
        <w:rPr>
          <w:rFonts w:ascii="Times New Roman" w:cs="Times New Roman" w:eastAsia="Times New Roman" w:hAnsi="Times New Roman"/>
          <w:b w:val="1"/>
          <w:bCs w:val="1"/>
          <w:sz w:val="24"/>
          <w:szCs w:val="24"/>
          <w:rtl w:val="0"/>
        </w:rPr>
        <w:t xml:space="preserve">1,3 miliardi</w:t>
      </w:r>
      <w:r w:rsidDel="00000000" w:rsidR="00000000" w:rsidRPr="00000000">
        <w:rPr>
          <w:rFonts w:ascii="Times New Roman" w:cs="Times New Roman" w:eastAsia="Times New Roman" w:hAnsi="Times New Roman"/>
          <w:sz w:val="24"/>
          <w:szCs w:val="24"/>
          <w:rtl w:val="0"/>
        </w:rPr>
        <w:t xml:space="preserve">. Anche in questo caso la Lombardia presenta un ruolo centrale, con </w:t>
      </w:r>
      <w:r w:rsidDel="00000000" w:rsidR="00000000" w:rsidRPr="00000000">
        <w:rPr>
          <w:rFonts w:ascii="Times New Roman" w:cs="Times New Roman" w:eastAsia="Times New Roman" w:hAnsi="Times New Roman"/>
          <w:b w:val="1"/>
          <w:bCs w:val="1"/>
          <w:sz w:val="24"/>
          <w:szCs w:val="24"/>
          <w:rtl w:val="0"/>
        </w:rPr>
        <w:t xml:space="preserve">3,7 miliardi di euro</w:t>
      </w:r>
      <w:r w:rsidDel="00000000" w:rsidR="00000000" w:rsidRPr="00000000">
        <w:rPr>
          <w:rFonts w:ascii="Times New Roman" w:cs="Times New Roman" w:eastAsia="Times New Roman" w:hAnsi="Times New Roman"/>
          <w:sz w:val="24"/>
          <w:szCs w:val="24"/>
          <w:rtl w:val="0"/>
        </w:rPr>
        <w:t xml:space="preserve"> di import dalla Turchia, di cui </w:t>
      </w:r>
      <w:r w:rsidDel="00000000" w:rsidR="00000000" w:rsidRPr="00000000">
        <w:rPr>
          <w:rFonts w:ascii="Times New Roman" w:cs="Times New Roman" w:eastAsia="Times New Roman" w:hAnsi="Times New Roman"/>
          <w:b w:val="1"/>
          <w:bCs w:val="1"/>
          <w:sz w:val="24"/>
          <w:szCs w:val="24"/>
          <w:rtl w:val="0"/>
        </w:rPr>
        <w:t xml:space="preserve">1,7 miliardi</w:t>
      </w:r>
      <w:r w:rsidDel="00000000" w:rsidR="00000000" w:rsidRPr="00000000">
        <w:rPr>
          <w:rFonts w:ascii="Times New Roman" w:cs="Times New Roman" w:eastAsia="Times New Roman" w:hAnsi="Times New Roman"/>
          <w:sz w:val="24"/>
          <w:szCs w:val="24"/>
          <w:rtl w:val="0"/>
        </w:rPr>
        <w:t xml:space="preserve"> riferiti a Milano.</w:t>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dati evidenziano un rapporto economico intenso e articolato, caratterizzato da una forte integrazione tra filiere manifatturiere. Pur in presenza di una contrazione dell’export italiano nel 2025, la Turchia resta un mercato di rilievo per la manifattura italiana, in particolare per </w:t>
      </w:r>
      <w:r w:rsidDel="00000000" w:rsidR="00000000" w:rsidRPr="00000000">
        <w:rPr>
          <w:rFonts w:ascii="Times New Roman" w:cs="Times New Roman" w:eastAsia="Times New Roman" w:hAnsi="Times New Roman"/>
          <w:b w:val="1"/>
          <w:bCs w:val="1"/>
          <w:sz w:val="24"/>
          <w:szCs w:val="24"/>
          <w:rtl w:val="0"/>
        </w:rPr>
        <w:t xml:space="preserve">macchinari, componentistica industriale, chimica, metalli, tessile e mezzi di trasporto</w:t>
      </w:r>
      <w:r w:rsidDel="00000000" w:rsidR="00000000" w:rsidRPr="00000000">
        <w:rPr>
          <w:rFonts w:ascii="Times New Roman" w:cs="Times New Roman" w:eastAsia="Times New Roman" w:hAnsi="Times New Roman"/>
          <w:sz w:val="24"/>
          <w:szCs w:val="24"/>
          <w:rtl w:val="0"/>
        </w:rPr>
        <w:t xml:space="preserve">, settori nei quali possono emergere nuove opportunità di collaborazione, investimento e presidio commerciale.</w:t>
      </w:r>
    </w:p>
    <w:p w:rsidR="00000000" w:rsidDel="00000000" w:rsidP="00000000" w:rsidRDefault="00000000" w:rsidRPr="00000000" w14:paraId="0000000B">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potenzialità del mercato turco emergono anche dalle </w:t>
      </w:r>
      <w:r w:rsidDel="00000000" w:rsidR="00000000" w:rsidRPr="00000000">
        <w:rPr>
          <w:rFonts w:ascii="Times New Roman" w:cs="Times New Roman" w:eastAsia="Times New Roman" w:hAnsi="Times New Roman"/>
          <w:b w:val="1"/>
          <w:bCs w:val="1"/>
          <w:sz w:val="24"/>
          <w:szCs w:val="24"/>
          <w:rtl w:val="0"/>
        </w:rPr>
        <w:t xml:space="preserve">previsioni per il prossimo triennio</w:t>
      </w:r>
      <w:r w:rsidDel="00000000" w:rsidR="00000000" w:rsidRPr="00000000">
        <w:rPr>
          <w:rFonts w:ascii="Times New Roman" w:cs="Times New Roman" w:eastAsia="Times New Roman" w:hAnsi="Times New Roman"/>
          <w:sz w:val="24"/>
          <w:szCs w:val="24"/>
          <w:rtl w:val="0"/>
        </w:rPr>
        <w:t xml:space="preserve"> elaborate tramite la </w:t>
      </w:r>
      <w:r w:rsidDel="00000000" w:rsidR="00000000" w:rsidRPr="00000000">
        <w:rPr>
          <w:rFonts w:ascii="Times New Roman" w:cs="Times New Roman" w:eastAsia="Times New Roman" w:hAnsi="Times New Roman"/>
          <w:b w:val="1"/>
          <w:bCs w:val="1"/>
          <w:sz w:val="24"/>
          <w:szCs w:val="24"/>
          <w:rtl w:val="0"/>
        </w:rPr>
        <w:t xml:space="preserve">Piattaforma SEI (</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sostegnoexport.it</w:t>
        </w:r>
      </w:hyperlink>
      <w:r w:rsidDel="00000000" w:rsidR="00000000" w:rsidRPr="00000000">
        <w:rPr>
          <w:rFonts w:ascii="Times New Roman" w:cs="Times New Roman" w:eastAsia="Times New Roman" w:hAnsi="Times New Roman"/>
          <w:b w:val="1"/>
          <w:bCs w:val="1"/>
          <w:sz w:val="24"/>
          <w:szCs w:val="24"/>
          <w:rtl w:val="0"/>
        </w:rPr>
        <w:t xml:space="preserve">) dell’Unioncamere</w:t>
      </w:r>
      <w:r w:rsidDel="00000000" w:rsidR="00000000" w:rsidRPr="00000000">
        <w:rPr>
          <w:rFonts w:ascii="Times New Roman" w:cs="Times New Roman" w:eastAsia="Times New Roman" w:hAnsi="Times New Roman"/>
          <w:sz w:val="24"/>
          <w:szCs w:val="24"/>
          <w:rtl w:val="0"/>
        </w:rPr>
        <w:t xml:space="preserve"> e basate sullo scenario macroeconomico del Fondo Monetario Internazionale (FMI):</w:t>
      </w:r>
    </w:p>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Forecast Interscambio Italia–Turchia (2026</w:t>
      </w:r>
      <w:r w:rsidDel="00000000" w:rsidR="00000000" w:rsidRPr="00000000">
        <w:rPr>
          <w:rFonts w:ascii="Times New Roman" w:cs="Times New Roman" w:eastAsia="Times New Roman" w:hAnsi="Times New Roman"/>
          <w:b w:val="1"/>
          <w:bCs w:val="1"/>
          <w:sz w:val="24"/>
          <w:szCs w:val="24"/>
          <w:rtl w:val="0"/>
        </w:rPr>
        <w:t xml:space="preserve">–2028)</w:t>
      </w:r>
      <w:r w:rsidDel="00000000" w:rsidR="00000000" w:rsidRPr="00000000">
        <w:rPr>
          <w:rFonts w:ascii="Times New Roman" w:cs="Times New Roman" w:eastAsia="Times New Roman" w:hAnsi="Times New Roman"/>
          <w:b w:val="1"/>
          <w:bCs w:val="1"/>
          <w:rtl w:val="0"/>
        </w:rPr>
        <w:t xml:space="preserve"> - Valori in migliaia di euro (000 EUR) </w:t>
      </w:r>
    </w:p>
    <w:tbl>
      <w:tblPr>
        <w:tblStyle w:val="Table1"/>
        <w:tblW w:w="9705.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2160"/>
        <w:gridCol w:w="1995"/>
        <w:gridCol w:w="1995"/>
        <w:gridCol w:w="2520"/>
        <w:tblGridChange w:id="0">
          <w:tblGrid>
            <w:gridCol w:w="1035"/>
            <w:gridCol w:w="2160"/>
            <w:gridCol w:w="1995"/>
            <w:gridCol w:w="1995"/>
            <w:gridCol w:w="2520"/>
          </w:tblGrid>
        </w:tblGridChange>
      </w:tblGrid>
      <w:tr>
        <w:trPr>
          <w:cantSplit w:val="0"/>
          <w:trHeight w:val="500" w:hRule="atLeast"/>
          <w:tblHeader w:val="0"/>
        </w:trPr>
        <w:tc>
          <w:tcPr>
            <w:tcBorders>
              <w:top w:color="8ea9db" w:space="0" w:sz="6" w:val="single"/>
              <w:left w:color="8ea9db" w:space="0" w:sz="6" w:val="single"/>
              <w:bottom w:color="8ea9db" w:space="0" w:sz="6" w:val="single"/>
              <w:right w:color="000000" w:space="0" w:sz="0" w:val="nil"/>
            </w:tcBorders>
            <w:shd w:fill="4472c4" w:val="clear"/>
            <w:tcMar>
              <w:top w:w="100.0" w:type="dxa"/>
              <w:left w:w="100.0" w:type="dxa"/>
              <w:bottom w:w="100.0" w:type="dxa"/>
              <w:right w:w="100.0" w:type="dxa"/>
            </w:tcMar>
            <w:vAlign w:val="top"/>
          </w:tcPr>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color w:val="ffffff"/>
                <w:rtl w:val="0"/>
              </w:rPr>
              <w:t xml:space="preserve">Anno</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4472c4" w:val="clear"/>
            <w:tcMar>
              <w:top w:w="100.0" w:type="dxa"/>
              <w:left w:w="100.0" w:type="dxa"/>
              <w:bottom w:w="100.0" w:type="dxa"/>
              <w:right w:w="100.0" w:type="dxa"/>
            </w:tcMar>
            <w:vAlign w:val="top"/>
          </w:tcPr>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color w:val="ffffff"/>
                <w:rtl w:val="0"/>
              </w:rPr>
              <w:t xml:space="preserve">Export ITA → TUR</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4472c4" w:val="clear"/>
            <w:tcMar>
              <w:top w:w="100.0" w:type="dxa"/>
              <w:left w:w="100.0" w:type="dxa"/>
              <w:bottom w:w="100.0" w:type="dxa"/>
              <w:right w:w="100.0" w:type="dxa"/>
            </w:tcMar>
            <w:vAlign w:val="top"/>
          </w:tcPr>
          <w:p w:rsidR="00000000" w:rsidDel="00000000" w:rsidP="00000000" w:rsidRDefault="00000000" w:rsidRPr="00000000" w14:paraId="00000010">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color w:val="ffffff"/>
                <w:rtl w:val="0"/>
              </w:rPr>
              <w:t xml:space="preserve">Import ITA ← TUR</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4472c4" w:val="clear"/>
            <w:tcMar>
              <w:top w:w="100.0" w:type="dxa"/>
              <w:left w:w="100.0" w:type="dxa"/>
              <w:bottom w:w="100.0" w:type="dxa"/>
              <w:right w:w="100.0" w:type="dxa"/>
            </w:tcMar>
            <w:vAlign w:val="top"/>
          </w:tcPr>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color w:val="ffffff"/>
                <w:rtl w:val="0"/>
              </w:rPr>
              <w:t xml:space="preserve">Interscambio</w:t>
            </w:r>
            <w:r w:rsidDel="00000000" w:rsidR="00000000" w:rsidRPr="00000000">
              <w:rPr>
                <w:rtl w:val="0"/>
              </w:rPr>
            </w:r>
          </w:p>
        </w:tc>
        <w:tc>
          <w:tcPr>
            <w:tcBorders>
              <w:top w:color="8ea9db" w:space="0" w:sz="6" w:val="single"/>
              <w:left w:color="000000" w:space="0" w:sz="0" w:val="nil"/>
              <w:bottom w:color="8ea9db" w:space="0" w:sz="6" w:val="single"/>
              <w:right w:color="8ea9db" w:space="0" w:sz="6" w:val="single"/>
            </w:tcBorders>
            <w:shd w:fill="4472c4" w:val="clear"/>
            <w:tcMar>
              <w:top w:w="100.0" w:type="dxa"/>
              <w:left w:w="100.0" w:type="dxa"/>
              <w:bottom w:w="100.0" w:type="dxa"/>
              <w:right w:w="100.0" w:type="dxa"/>
            </w:tcMar>
            <w:vAlign w:val="top"/>
          </w:tcPr>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color w:val="ffffff"/>
                <w:rtl w:val="0"/>
              </w:rPr>
              <w:t xml:space="preserve">Saldo commerciale</w:t>
            </w:r>
            <w:r w:rsidDel="00000000" w:rsidR="00000000" w:rsidRPr="00000000">
              <w:rPr>
                <w:rtl w:val="0"/>
              </w:rPr>
            </w:r>
          </w:p>
        </w:tc>
      </w:tr>
      <w:tr>
        <w:trPr>
          <w:cantSplit w:val="0"/>
          <w:trHeight w:val="648.5546874999999" w:hRule="atLeast"/>
          <w:tblHeader w:val="0"/>
        </w:trPr>
        <w:tc>
          <w:tcPr>
            <w:tcBorders>
              <w:top w:color="8ea9db" w:space="0" w:sz="6" w:val="single"/>
              <w:left w:color="8ea9db" w:space="0" w:sz="6" w:val="single"/>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rtl w:val="0"/>
              </w:rPr>
              <w:t xml:space="preserve">2026</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13.811.031,71</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12.611.191,62</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26.422.223,33</w:t>
            </w:r>
            <w:r w:rsidDel="00000000" w:rsidR="00000000" w:rsidRPr="00000000">
              <w:rPr>
                <w:rtl w:val="0"/>
              </w:rPr>
            </w:r>
          </w:p>
        </w:tc>
        <w:tc>
          <w:tcPr>
            <w:tcBorders>
              <w:top w:color="8ea9db" w:space="0" w:sz="6" w:val="single"/>
              <w:left w:color="000000" w:space="0" w:sz="0" w:val="nil"/>
              <w:bottom w:color="8ea9db" w:space="0" w:sz="6" w:val="single"/>
              <w:right w:color="8ea9db" w:space="0" w:sz="6" w:val="single"/>
            </w:tcBorders>
            <w:shd w:fill="d9e1f2" w:val="clear"/>
            <w:tcMar>
              <w:top w:w="100.0" w:type="dxa"/>
              <w:left w:w="100.0" w:type="dxa"/>
              <w:bottom w:w="100.0" w:type="dxa"/>
              <w:right w:w="100.0" w:type="dxa"/>
            </w:tcMar>
            <w:vAlign w:val="top"/>
          </w:tcPr>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rtl w:val="0"/>
              </w:rPr>
              <w:t xml:space="preserve">1.199.840,09</w:t>
            </w:r>
            <w:r w:rsidDel="00000000" w:rsidR="00000000" w:rsidRPr="00000000">
              <w:rPr>
                <w:rtl w:val="0"/>
              </w:rPr>
            </w:r>
          </w:p>
        </w:tc>
      </w:tr>
      <w:tr>
        <w:trPr>
          <w:cantSplit w:val="0"/>
          <w:trHeight w:val="500" w:hRule="atLeast"/>
          <w:tblHeader w:val="0"/>
        </w:trPr>
        <w:tc>
          <w:tcPr>
            <w:tcBorders>
              <w:top w:color="8ea9db" w:space="0" w:sz="6" w:val="single"/>
              <w:left w:color="8ea9db" w:space="0" w:sz="6" w:val="single"/>
              <w:bottom w:color="8ea9db"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rtl w:val="0"/>
              </w:rPr>
              <w:t xml:space="preserve">2027</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13.719.631,71</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12.979.605,07</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26.699.236,78</w:t>
            </w:r>
            <w:r w:rsidDel="00000000" w:rsidR="00000000" w:rsidRPr="00000000">
              <w:rPr>
                <w:rtl w:val="0"/>
              </w:rPr>
            </w:r>
          </w:p>
        </w:tc>
        <w:tc>
          <w:tcPr>
            <w:tcBorders>
              <w:top w:color="8ea9db" w:space="0" w:sz="6" w:val="single"/>
              <w:left w:color="000000" w:space="0" w:sz="0" w:val="nil"/>
              <w:bottom w:color="8ea9db" w:space="0" w:sz="6" w:val="single"/>
              <w:right w:color="8ea9db"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rtl w:val="0"/>
              </w:rPr>
              <w:t xml:space="preserve">740.026,64</w:t>
            </w:r>
            <w:r w:rsidDel="00000000" w:rsidR="00000000" w:rsidRPr="00000000">
              <w:rPr>
                <w:rtl w:val="0"/>
              </w:rPr>
            </w:r>
          </w:p>
        </w:tc>
      </w:tr>
      <w:tr>
        <w:trPr>
          <w:cantSplit w:val="0"/>
          <w:trHeight w:val="500" w:hRule="atLeast"/>
          <w:tblHeader w:val="0"/>
        </w:trPr>
        <w:tc>
          <w:tcPr>
            <w:tcBorders>
              <w:top w:color="8ea9db" w:space="0" w:sz="6" w:val="single"/>
              <w:left w:color="8ea9db" w:space="0" w:sz="6" w:val="single"/>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D">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rtl w:val="0"/>
              </w:rPr>
              <w:t xml:space="preserve">2028</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E">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14.423.792,69</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1F">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13.415.056,98</w:t>
            </w:r>
            <w:r w:rsidDel="00000000" w:rsidR="00000000" w:rsidRPr="00000000">
              <w:rPr>
                <w:rtl w:val="0"/>
              </w:rPr>
            </w:r>
          </w:p>
        </w:tc>
        <w:tc>
          <w:tcPr>
            <w:tcBorders>
              <w:top w:color="8ea9db" w:space="0" w:sz="6" w:val="single"/>
              <w:left w:color="000000" w:space="0" w:sz="0" w:val="nil"/>
              <w:bottom w:color="8ea9db" w:space="0" w:sz="6" w:val="single"/>
              <w:right w:color="000000" w:space="0" w:sz="0" w:val="nil"/>
            </w:tcBorders>
            <w:shd w:fill="d9e1f2" w:val="clear"/>
            <w:tcMar>
              <w:top w:w="100.0" w:type="dxa"/>
              <w:left w:w="100.0" w:type="dxa"/>
              <w:bottom w:w="100.0" w:type="dxa"/>
              <w:right w:w="100.0" w:type="dxa"/>
            </w:tcMar>
            <w:vAlign w:val="top"/>
          </w:tcPr>
          <w:p w:rsidR="00000000" w:rsidDel="00000000" w:rsidP="00000000" w:rsidRDefault="00000000" w:rsidRPr="00000000" w14:paraId="00000020">
            <w:pPr>
              <w:spacing w:after="280" w:before="280" w:line="240" w:lineRule="auto"/>
              <w:jc w:val="both"/>
              <w:rPr>
                <w:rFonts w:ascii="Times New Roman" w:cs="Times New Roman" w:eastAsia="Times New Roman" w:hAnsi="Times New Roman"/>
                <w:sz w:val="24"/>
                <w:szCs w:val="24"/>
              </w:rPr>
            </w:pPr>
            <w:r w:rsidDel="00000000" w:rsidR="00000000" w:rsidRPr="00000000">
              <w:rPr>
                <w:rtl w:val="0"/>
              </w:rPr>
              <w:t xml:space="preserve">27.838.849,67</w:t>
            </w:r>
            <w:r w:rsidDel="00000000" w:rsidR="00000000" w:rsidRPr="00000000">
              <w:rPr>
                <w:rtl w:val="0"/>
              </w:rPr>
            </w:r>
          </w:p>
        </w:tc>
        <w:tc>
          <w:tcPr>
            <w:tcBorders>
              <w:top w:color="8ea9db" w:space="0" w:sz="6" w:val="single"/>
              <w:left w:color="000000" w:space="0" w:sz="0" w:val="nil"/>
              <w:bottom w:color="8ea9db" w:space="0" w:sz="6" w:val="single"/>
              <w:right w:color="8ea9db" w:space="0" w:sz="6" w:val="single"/>
            </w:tcBorders>
            <w:shd w:fill="d9e1f2" w:val="clear"/>
            <w:tcMar>
              <w:top w:w="100.0" w:type="dxa"/>
              <w:left w:w="100.0" w:type="dxa"/>
              <w:bottom w:w="100.0" w:type="dxa"/>
              <w:right w:w="100.0" w:type="dxa"/>
            </w:tcMar>
            <w:vAlign w:val="top"/>
          </w:tcPr>
          <w:p w:rsidR="00000000" w:rsidDel="00000000" w:rsidP="00000000" w:rsidRDefault="00000000" w:rsidRPr="00000000" w14:paraId="00000021">
            <w:pPr>
              <w:spacing w:after="280" w:before="280" w:line="240" w:lineRule="auto"/>
              <w:jc w:val="both"/>
              <w:rPr>
                <w:rFonts w:ascii="Times New Roman" w:cs="Times New Roman" w:eastAsia="Times New Roman" w:hAnsi="Times New Roman"/>
                <w:sz w:val="24"/>
                <w:szCs w:val="24"/>
              </w:rPr>
            </w:pPr>
            <w:r w:rsidDel="00000000" w:rsidR="00000000" w:rsidRPr="00000000">
              <w:rPr>
                <w:b w:val="1"/>
                <w:bCs w:val="1"/>
                <w:rtl w:val="0"/>
              </w:rPr>
              <w:t xml:space="preserve">1.008.735,71</w:t>
            </w:r>
            <w:r w:rsidDel="00000000" w:rsidR="00000000" w:rsidRPr="00000000">
              <w:rPr>
                <w:rtl w:val="0"/>
              </w:rPr>
            </w:r>
          </w:p>
        </w:tc>
      </w:tr>
    </w:tbl>
    <w:p w:rsidR="00000000" w:rsidDel="00000000" w:rsidP="00000000" w:rsidRDefault="00000000" w:rsidRPr="00000000" w14:paraId="0000002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L’interscambio Italia-Turchia è atteso in progressivo rafforzamento nel triennio 2026-2028, con un valore complessivo stimato in aumento da 26,4 a 27,8 miliardi di euro e un saldo commerciale favorevole all’Italia mantenuto su livelli positivi </w:t>
      </w:r>
      <w:r w:rsidDel="00000000" w:rsidR="00000000" w:rsidRPr="00000000">
        <w:rPr>
          <w:rFonts w:ascii="Times New Roman" w:cs="Times New Roman" w:eastAsia="Times New Roman" w:hAnsi="Times New Roman"/>
          <w:sz w:val="24"/>
          <w:szCs w:val="24"/>
          <w:rtl w:val="0"/>
        </w:rPr>
        <w:t xml:space="preserve"> (picco stimato di 1,20 mld nel 2026).</w:t>
      </w:r>
      <w:r w:rsidDel="00000000" w:rsidR="00000000" w:rsidRPr="00000000">
        <w:rPr>
          <w:rtl w:val="0"/>
        </w:rPr>
      </w:r>
    </w:p>
    <w:p w:rsidR="00000000" w:rsidDel="00000000" w:rsidP="00000000" w:rsidRDefault="00000000" w:rsidRPr="00000000" w14:paraId="0000002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lavori si sono aperti con il benvenuto della Direttrice del </w:t>
      </w:r>
      <w:r w:rsidDel="00000000" w:rsidR="00000000" w:rsidRPr="00000000">
        <w:rPr>
          <w:rFonts w:ascii="Times New Roman" w:cs="Times New Roman" w:eastAsia="Times New Roman" w:hAnsi="Times New Roman"/>
          <w:b w:val="1"/>
          <w:bCs w:val="1"/>
          <w:sz w:val="24"/>
          <w:szCs w:val="24"/>
          <w:rtl w:val="0"/>
        </w:rPr>
        <w:t xml:space="preserve">Centro Culturale Turco – Yunus Emre Enstitüsü</w:t>
      </w:r>
      <w:r w:rsidDel="00000000" w:rsidR="00000000" w:rsidRPr="00000000">
        <w:rPr>
          <w:rFonts w:ascii="Times New Roman" w:cs="Times New Roman" w:eastAsia="Times New Roman" w:hAnsi="Times New Roman"/>
          <w:sz w:val="24"/>
          <w:szCs w:val="24"/>
          <w:rtl w:val="0"/>
        </w:rPr>
        <w:t xml:space="preserve"> e con i saluti istituzionali di </w:t>
      </w:r>
      <w:r w:rsidDel="00000000" w:rsidR="00000000" w:rsidRPr="00000000">
        <w:rPr>
          <w:rFonts w:ascii="Times New Roman" w:cs="Times New Roman" w:eastAsia="Times New Roman" w:hAnsi="Times New Roman"/>
          <w:b w:val="1"/>
          <w:bCs w:val="1"/>
          <w:sz w:val="24"/>
          <w:szCs w:val="24"/>
          <w:rtl w:val="0"/>
        </w:rPr>
        <w:t xml:space="preserve">S.E. Giuseppe Manzo</w:t>
      </w:r>
      <w:r w:rsidDel="00000000" w:rsidR="00000000" w:rsidRPr="00000000">
        <w:rPr>
          <w:rFonts w:ascii="Times New Roman" w:cs="Times New Roman" w:eastAsia="Times New Roman" w:hAnsi="Times New Roman"/>
          <w:sz w:val="24"/>
          <w:szCs w:val="24"/>
          <w:rtl w:val="0"/>
        </w:rPr>
        <w:t xml:space="preserve">, Ambasciatore d’Italia in Turchia, in videocollegamento; </w:t>
      </w:r>
      <w:r w:rsidDel="00000000" w:rsidR="00000000" w:rsidRPr="00000000">
        <w:rPr>
          <w:rFonts w:ascii="Times New Roman" w:cs="Times New Roman" w:eastAsia="Times New Roman" w:hAnsi="Times New Roman"/>
          <w:b w:val="1"/>
          <w:bCs w:val="1"/>
          <w:sz w:val="24"/>
          <w:szCs w:val="24"/>
          <w:rtl w:val="0"/>
        </w:rPr>
        <w:t xml:space="preserve">S.E. Elif Çomoğlu Ülgen</w:t>
      </w:r>
      <w:r w:rsidDel="00000000" w:rsidR="00000000" w:rsidRPr="00000000">
        <w:rPr>
          <w:rFonts w:ascii="Times New Roman" w:cs="Times New Roman" w:eastAsia="Times New Roman" w:hAnsi="Times New Roman"/>
          <w:sz w:val="24"/>
          <w:szCs w:val="24"/>
          <w:rtl w:val="0"/>
        </w:rPr>
        <w:t xml:space="preserve">, Ambasciatrice della Turchia in Italia; e del </w:t>
      </w:r>
      <w:r w:rsidDel="00000000" w:rsidR="00000000" w:rsidRPr="00000000">
        <w:rPr>
          <w:rFonts w:ascii="Times New Roman" w:cs="Times New Roman" w:eastAsia="Times New Roman" w:hAnsi="Times New Roman"/>
          <w:b w:val="1"/>
          <w:bCs w:val="1"/>
          <w:sz w:val="24"/>
          <w:szCs w:val="24"/>
          <w:rtl w:val="0"/>
        </w:rPr>
        <w:t xml:space="preserve">Min. Mauro Battocchi</w:t>
      </w:r>
      <w:r w:rsidDel="00000000" w:rsidR="00000000" w:rsidRPr="00000000">
        <w:rPr>
          <w:rFonts w:ascii="Times New Roman" w:cs="Times New Roman" w:eastAsia="Times New Roman" w:hAnsi="Times New Roman"/>
          <w:sz w:val="24"/>
          <w:szCs w:val="24"/>
          <w:rtl w:val="0"/>
        </w:rPr>
        <w:t xml:space="preserve">, Direttore Generale per la Crescita e la Promozione delle Esportazioni del </w:t>
      </w:r>
      <w:r w:rsidDel="00000000" w:rsidR="00000000" w:rsidRPr="00000000">
        <w:rPr>
          <w:rFonts w:ascii="Times New Roman" w:cs="Times New Roman" w:eastAsia="Times New Roman" w:hAnsi="Times New Roman"/>
          <w:b w:val="1"/>
          <w:bCs w:val="1"/>
          <w:sz w:val="24"/>
          <w:szCs w:val="24"/>
          <w:rtl w:val="0"/>
        </w:rPr>
        <w:t xml:space="preserve">Ministero degli Affari Esteri e della Cooperazione Internazionale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sessione dedicata a </w:t>
      </w:r>
      <w:r w:rsidDel="00000000" w:rsidR="00000000" w:rsidRPr="00000000">
        <w:rPr>
          <w:rFonts w:ascii="Times New Roman" w:cs="Times New Roman" w:eastAsia="Times New Roman" w:hAnsi="Times New Roman"/>
          <w:b w:val="1"/>
          <w:bCs w:val="1"/>
          <w:sz w:val="24"/>
          <w:szCs w:val="24"/>
          <w:rtl w:val="0"/>
        </w:rPr>
        <w:t xml:space="preserve">“Il Sistema Italia a supporto dell’export in Turchia – Internazionalizzazione delle imprese italiane”</w:t>
      </w:r>
      <w:r w:rsidDel="00000000" w:rsidR="00000000" w:rsidRPr="00000000">
        <w:rPr>
          <w:rFonts w:ascii="Times New Roman" w:cs="Times New Roman" w:eastAsia="Times New Roman" w:hAnsi="Times New Roman"/>
          <w:sz w:val="24"/>
          <w:szCs w:val="24"/>
          <w:rtl w:val="0"/>
        </w:rPr>
        <w:t xml:space="preserve"> ha visto gli interventi di </w:t>
      </w:r>
      <w:r w:rsidDel="00000000" w:rsidR="00000000" w:rsidRPr="00000000">
        <w:rPr>
          <w:rFonts w:ascii="Times New Roman" w:cs="Times New Roman" w:eastAsia="Times New Roman" w:hAnsi="Times New Roman"/>
          <w:b w:val="1"/>
          <w:bCs w:val="1"/>
          <w:sz w:val="24"/>
          <w:szCs w:val="24"/>
          <w:rtl w:val="0"/>
        </w:rPr>
        <w:t xml:space="preserve">UNIONCAMERE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CDP, SACE e SIMEST </w:t>
      </w:r>
      <w:r w:rsidDel="00000000" w:rsidR="00000000" w:rsidRPr="00000000">
        <w:rPr>
          <w:rFonts w:ascii="Times New Roman" w:cs="Times New Roman" w:eastAsia="Times New Roman" w:hAnsi="Times New Roman"/>
          <w:sz w:val="24"/>
          <w:szCs w:val="24"/>
          <w:rtl w:val="0"/>
        </w:rPr>
        <w:t xml:space="preserve">con un approfondimento sugli strumenti finanziari, assicurativi e di accompagnamento messi a disposizione delle imprese italiane nei percorsi di accesso e consolidamento sui mercati esteri.</w:t>
      </w:r>
    </w:p>
    <w:p w:rsidR="00000000" w:rsidDel="00000000" w:rsidP="00000000" w:rsidRDefault="00000000" w:rsidRPr="00000000" w14:paraId="0000002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seguire, il focus sulle </w:t>
      </w:r>
      <w:r w:rsidDel="00000000" w:rsidR="00000000" w:rsidRPr="00000000">
        <w:rPr>
          <w:rFonts w:ascii="Times New Roman" w:cs="Times New Roman" w:eastAsia="Times New Roman" w:hAnsi="Times New Roman"/>
          <w:b w:val="1"/>
          <w:bCs w:val="1"/>
          <w:sz w:val="24"/>
          <w:szCs w:val="24"/>
          <w:rtl w:val="0"/>
        </w:rPr>
        <w:t xml:space="preserve">“Opportunità di cooperazione industriale”</w:t>
      </w:r>
      <w:r w:rsidDel="00000000" w:rsidR="00000000" w:rsidRPr="00000000">
        <w:rPr>
          <w:rFonts w:ascii="Times New Roman" w:cs="Times New Roman" w:eastAsia="Times New Roman" w:hAnsi="Times New Roman"/>
          <w:sz w:val="24"/>
          <w:szCs w:val="24"/>
          <w:rtl w:val="0"/>
        </w:rPr>
        <w:t xml:space="preserve"> ha coinvolto </w:t>
      </w:r>
      <w:r w:rsidDel="00000000" w:rsidR="00000000" w:rsidRPr="00000000">
        <w:rPr>
          <w:rFonts w:ascii="Times New Roman" w:cs="Times New Roman" w:eastAsia="Times New Roman" w:hAnsi="Times New Roman"/>
          <w:b w:val="1"/>
          <w:bCs w:val="1"/>
          <w:sz w:val="24"/>
          <w:szCs w:val="24"/>
          <w:rtl w:val="0"/>
        </w:rPr>
        <w:t xml:space="preserve">Invest in Türkiye, Confindustria Assafrica &amp; Mediterraneo, Sparkle, Confapi, Camera di Commercio e Industria Italiana in Turchia e Promos Italia</w:t>
      </w:r>
      <w:r w:rsidDel="00000000" w:rsidR="00000000" w:rsidRPr="00000000">
        <w:rPr>
          <w:rFonts w:ascii="Times New Roman" w:cs="Times New Roman" w:eastAsia="Times New Roman" w:hAnsi="Times New Roman"/>
          <w:sz w:val="24"/>
          <w:szCs w:val="24"/>
          <w:rtl w:val="0"/>
        </w:rPr>
        <w:t xml:space="preserve">, insieme ad alcune testimonianze aziendali. </w:t>
      </w:r>
    </w:p>
    <w:p w:rsidR="00000000" w:rsidDel="00000000" w:rsidP="00000000" w:rsidRDefault="00000000" w:rsidRPr="00000000" w14:paraId="00000026">
      <w:pPr>
        <w:spacing w:after="280" w:before="2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Pietro Infante</w:t>
      </w:r>
      <w:r w:rsidDel="00000000" w:rsidR="00000000" w:rsidRPr="00000000">
        <w:rPr>
          <w:rFonts w:ascii="Times New Roman" w:cs="Times New Roman" w:eastAsia="Times New Roman" w:hAnsi="Times New Roman"/>
          <w:sz w:val="24"/>
          <w:szCs w:val="24"/>
          <w:rtl w:val="0"/>
        </w:rPr>
        <w:t xml:space="preserve">, Responsabile internazionalizzazione di Unioncamere, ha evidenziato l’impegno del sistema camerale per  supportare le imprese nei mercati internazionali con azioni di informazione dettagliate su opportunità e mercati, formazione, orientamento e assistenza taylor made, con percorsi diversificati a seconda del grado di propensione all’export e sulle principali geografie del Piano di azione per l’export della Farnesina come la Turchia. Un Paese strategico non solo dal punto di vista commerciale per ampliare i flussi di export verso Medio Oriente e mercati centro-asiatici, ma anche per partenariati industriali e investimenti ed in cui operano due Camere di commercio a Istanbul e Smirne, con oltre 1200 associati.</w:t>
      </w:r>
      <w:r w:rsidDel="00000000" w:rsidR="00000000" w:rsidRPr="00000000">
        <w:rPr>
          <w:rtl w:val="0"/>
        </w:rPr>
      </w:r>
    </w:p>
    <w:p w:rsidR="00000000" w:rsidDel="00000000" w:rsidP="00000000" w:rsidRDefault="00000000" w:rsidRPr="00000000" w14:paraId="0000002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Presidente della Camera di Commercio italiana a Istanbul, </w:t>
      </w:r>
      <w:r w:rsidDel="00000000" w:rsidR="00000000" w:rsidRPr="00000000">
        <w:rPr>
          <w:rFonts w:ascii="Times New Roman" w:cs="Times New Roman" w:eastAsia="Times New Roman" w:hAnsi="Times New Roman"/>
          <w:b w:val="1"/>
          <w:bCs w:val="1"/>
          <w:sz w:val="24"/>
          <w:szCs w:val="24"/>
          <w:rtl w:val="0"/>
        </w:rPr>
        <w:t xml:space="preserve">Stefano Kaslowski</w:t>
      </w:r>
      <w:r w:rsidDel="00000000" w:rsidR="00000000" w:rsidRPr="00000000">
        <w:rPr>
          <w:rFonts w:ascii="Times New Roman" w:cs="Times New Roman" w:eastAsia="Times New Roman" w:hAnsi="Times New Roman"/>
          <w:sz w:val="24"/>
          <w:szCs w:val="24"/>
          <w:rtl w:val="0"/>
        </w:rPr>
        <w:t xml:space="preserve">, ha affermato nel suo intervento che la relazione economica tra Italia e Turchia non rappresenta semplicemente una partnership commerciale. Si tratta infatti di una collaborazione costruita nel tempo, fondata sulla fiducia reciproca, sulla complementarità industriale e su un impegno condiviso volto a creare valore attraverso innovazione, produzione e investimenti.</w:t>
      </w:r>
      <w:r w:rsidDel="00000000" w:rsidR="00000000" w:rsidRPr="00000000">
        <w:rPr>
          <w:rtl w:val="0"/>
        </w:rPr>
      </w:r>
    </w:p>
    <w:p w:rsidR="00000000" w:rsidDel="00000000" w:rsidP="00000000" w:rsidRDefault="00000000" w:rsidRPr="00000000" w14:paraId="0000002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Valeria Centinaro, </w:t>
      </w:r>
      <w:r w:rsidDel="00000000" w:rsidR="00000000" w:rsidRPr="00000000">
        <w:rPr>
          <w:rFonts w:ascii="Times New Roman" w:cs="Times New Roman" w:eastAsia="Times New Roman" w:hAnsi="Times New Roman"/>
          <w:sz w:val="24"/>
          <w:szCs w:val="24"/>
          <w:rtl w:val="0"/>
        </w:rPr>
        <w:t xml:space="preserve">Responsabile Dipartimento Opportunità, Financial Advisory e Progetti Europei di Promos Italia, ha sottolineato la necessità di rendere la già solida cooperazione tra Italia e Turchia più strutturata e accessibile per le PMI. Definendo la Turchia un partner industriale, logistico e commerciale strategico, nonché un ponte verso aree più ampie, ha spiegato che l'obiettivo di Promos Italia è facilitare questo percorso trasformando il dialogo istituzionale in collaborazioni operative. Secondo Centinaro, infatti, la vera sfida attuale non è semplicemente aumentare l'export, ma cooperare meglio attraverso partnership concrete e di filiera.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29">
      <w:pPr>
        <w:spacing w:after="280" w:before="28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 </w:t>
      </w:r>
      <w:r w:rsidDel="00000000" w:rsidR="00000000" w:rsidRPr="00000000">
        <w:rPr>
          <w:rFonts w:ascii="Times New Roman" w:cs="Times New Roman" w:eastAsia="Times New Roman" w:hAnsi="Times New Roman"/>
          <w:b w:val="1"/>
          <w:bCs w:val="1"/>
          <w:sz w:val="24"/>
          <w:szCs w:val="24"/>
          <w:highlight w:val="white"/>
          <w:rtl w:val="0"/>
        </w:rPr>
        <w:t xml:space="preserve">Unioncamere </w:t>
      </w:r>
      <w:r w:rsidDel="00000000" w:rsidR="00000000" w:rsidRPr="00000000">
        <w:rPr>
          <w:rFonts w:ascii="Times New Roman" w:cs="Times New Roman" w:eastAsia="Times New Roman" w:hAnsi="Times New Roman"/>
          <w:sz w:val="24"/>
          <w:szCs w:val="24"/>
          <w:highlight w:val="white"/>
          <w:rtl w:val="0"/>
        </w:rPr>
        <w:t xml:space="preserve">l'iniziativa si inserisce nel percorso di rafforzamento della cooperazione interistituzionale con il </w:t>
      </w:r>
      <w:r w:rsidDel="00000000" w:rsidR="00000000" w:rsidRPr="00000000">
        <w:rPr>
          <w:rFonts w:ascii="Times New Roman" w:cs="Times New Roman" w:eastAsia="Times New Roman" w:hAnsi="Times New Roman"/>
          <w:b w:val="1"/>
          <w:bCs w:val="1"/>
          <w:sz w:val="24"/>
          <w:szCs w:val="24"/>
          <w:highlight w:val="white"/>
          <w:rtl w:val="0"/>
        </w:rPr>
        <w:t xml:space="preserve">Ministero degli Affari Esteri e della Cooperazione Internazionale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e con gli altri attori del sistema Italia per l’internazionalizzazione</w:t>
      </w:r>
      <w:r w:rsidDel="00000000" w:rsidR="00000000" w:rsidRPr="00000000">
        <w:rPr>
          <w:rFonts w:ascii="Times New Roman" w:cs="Times New Roman" w:eastAsia="Times New Roman" w:hAnsi="Times New Roman"/>
          <w:sz w:val="24"/>
          <w:szCs w:val="24"/>
          <w:highlight w:val="white"/>
          <w:rtl w:val="0"/>
        </w:rPr>
        <w:t xml:space="preserve">, per far conoscere alle imprese italiane - con il supporto della propria </w:t>
      </w:r>
      <w:r w:rsidDel="00000000" w:rsidR="00000000" w:rsidRPr="00000000">
        <w:rPr>
          <w:rFonts w:ascii="Times New Roman" w:cs="Times New Roman" w:eastAsia="Times New Roman" w:hAnsi="Times New Roman"/>
          <w:b w:val="1"/>
          <w:bCs w:val="1"/>
          <w:sz w:val="24"/>
          <w:szCs w:val="24"/>
          <w:highlight w:val="white"/>
          <w:rtl w:val="0"/>
        </w:rPr>
        <w:t xml:space="preserve">rete delle Camere di commercio italiane all’estero coordinata da Assocamerestero</w:t>
      </w:r>
      <w:r w:rsidDel="00000000" w:rsidR="00000000" w:rsidRPr="00000000">
        <w:rPr>
          <w:rFonts w:ascii="Times New Roman" w:cs="Times New Roman" w:eastAsia="Times New Roman" w:hAnsi="Times New Roman"/>
          <w:sz w:val="24"/>
          <w:szCs w:val="24"/>
          <w:highlight w:val="white"/>
          <w:rtl w:val="0"/>
        </w:rPr>
        <w:t xml:space="preserve"> e dell’Agenzia per l’internazionalizzazione del sistema camerale </w:t>
      </w:r>
      <w:r w:rsidDel="00000000" w:rsidR="00000000" w:rsidRPr="00000000">
        <w:rPr>
          <w:rFonts w:ascii="Times New Roman" w:cs="Times New Roman" w:eastAsia="Times New Roman" w:hAnsi="Times New Roman"/>
          <w:b w:val="1"/>
          <w:bCs w:val="1"/>
          <w:sz w:val="24"/>
          <w:szCs w:val="24"/>
          <w:highlight w:val="white"/>
          <w:rtl w:val="0"/>
        </w:rPr>
        <w:t xml:space="preserve">Promos Italia</w:t>
      </w:r>
      <w:r w:rsidDel="00000000" w:rsidR="00000000" w:rsidRPr="00000000">
        <w:rPr>
          <w:rFonts w:ascii="Times New Roman" w:cs="Times New Roman" w:eastAsia="Times New Roman" w:hAnsi="Times New Roman"/>
          <w:sz w:val="24"/>
          <w:szCs w:val="24"/>
          <w:highlight w:val="white"/>
          <w:rtl w:val="0"/>
        </w:rPr>
        <w:t xml:space="preserve"> - le potenzialità del mercato turco con una serie di servizi di informazione, formazione, orientamento e accompagnamento sui mercati esteri.</w:t>
      </w:r>
    </w:p>
    <w:p w:rsidR="00000000" w:rsidDel="00000000" w:rsidP="00000000" w:rsidRDefault="00000000" w:rsidRPr="00000000" w14:paraId="0000002A">
      <w:pPr>
        <w:spacing w:after="280" w:before="28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rtl w:val="0"/>
        </w:rPr>
        <w:t xml:space="preserve">I DATI:</w:t>
      </w:r>
      <w:r w:rsidDel="00000000" w:rsidR="00000000" w:rsidRPr="00000000">
        <w:rPr>
          <w:rFonts w:ascii="Times New Roman" w:cs="Times New Roman" w:eastAsia="Times New Roman" w:hAnsi="Times New Roman"/>
          <w:rtl w:val="0"/>
        </w:rPr>
        <w:br w:type="textWrapping"/>
      </w:r>
      <w:r w:rsidDel="00000000" w:rsidR="00000000" w:rsidRPr="00000000">
        <w:rPr>
          <w:rtl w:val="0"/>
        </w:rPr>
      </w:r>
    </w:p>
    <w:tbl>
      <w:tblPr>
        <w:tblStyle w:val="Table2"/>
        <w:tblW w:w="10103.0" w:type="dxa"/>
        <w:jc w:val="left"/>
        <w:tblLayout w:type="fixed"/>
        <w:tblLook w:val="0400"/>
      </w:tblPr>
      <w:tblGrid>
        <w:gridCol w:w="1980"/>
        <w:gridCol w:w="1417"/>
        <w:gridCol w:w="1560"/>
        <w:gridCol w:w="1417"/>
        <w:gridCol w:w="1417"/>
        <w:gridCol w:w="1130.9999999999995"/>
        <w:gridCol w:w="24.00000000000034"/>
        <w:gridCol w:w="1157"/>
        <w:tblGridChange w:id="0">
          <w:tblGrid>
            <w:gridCol w:w="1980"/>
            <w:gridCol w:w="1417"/>
            <w:gridCol w:w="1560"/>
            <w:gridCol w:w="1417"/>
            <w:gridCol w:w="1417"/>
            <w:gridCol w:w="1130.9999999999995"/>
            <w:gridCol w:w="24.00000000000034"/>
            <w:gridCol w:w="1157"/>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shd w:fill="969696" w:val="clear"/>
          </w:tcPr>
          <w:p w:rsidR="00000000" w:rsidDel="00000000" w:rsidP="00000000" w:rsidRDefault="00000000" w:rsidRPr="00000000" w14:paraId="0000002C">
            <w:pPr>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Periodo  </w:t>
            </w:r>
          </w:p>
        </w:tc>
        <w:tc>
          <w:tcPr>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2D">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2020  </w:t>
            </w:r>
          </w:p>
        </w:tc>
        <w:tc>
          <w:tcPr>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2E">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2021  </w:t>
            </w:r>
          </w:p>
        </w:tc>
        <w:tc>
          <w:tcPr>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2F">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2022  </w:t>
            </w:r>
          </w:p>
        </w:tc>
        <w:tc>
          <w:tcPr>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30">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2023  </w:t>
            </w:r>
          </w:p>
        </w:tc>
        <w:tc>
          <w:tcPr>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31">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2024  </w:t>
            </w:r>
          </w:p>
        </w:tc>
        <w:tc>
          <w:tcPr>
            <w:gridSpan w:val="2"/>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32">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2025  </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969696" w:val="clear"/>
          </w:tcPr>
          <w:p w:rsidR="00000000" w:rsidDel="00000000" w:rsidP="00000000" w:rsidRDefault="00000000" w:rsidRPr="00000000" w14:paraId="0000003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Territorio  </w:t>
            </w:r>
          </w:p>
        </w:tc>
        <w:tc>
          <w:tcPr>
            <w:gridSpan w:val="7"/>
            <w:tcBorders>
              <w:top w:color="000000" w:space="0" w:sz="4" w:val="single"/>
              <w:left w:color="000000" w:space="0" w:sz="0" w:val="nil"/>
              <w:bottom w:color="000000" w:space="0" w:sz="4" w:val="single"/>
              <w:right w:color="000000" w:space="0" w:sz="4" w:val="single"/>
            </w:tcBorders>
            <w:shd w:fill="c0c0c0" w:val="clear"/>
          </w:tcPr>
          <w:p w:rsidR="00000000" w:rsidDel="00000000" w:rsidP="00000000" w:rsidRDefault="00000000" w:rsidRPr="00000000" w14:paraId="00000035">
            <w:pPr>
              <w:spacing w:after="0" w:line="240" w:lineRule="auto"/>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  </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[ITTOT] Totale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3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7.457.413.433</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3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9.848.217.449</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3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12.245.428.332</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4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11.547.338.315</w:t>
            </w:r>
          </w:p>
        </w:tc>
        <w:tc>
          <w:tcPr>
            <w:gridSpan w:val="2"/>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4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12.073.024.146</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4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12.436.991.729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4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 Nord-ovest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3.585.040.141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4.778.062.134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5.753.717.838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4.655.364.109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4.742.421.779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5.028.797.289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4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 Piemonte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1.284.953.096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1.574.865.757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1.721.104.770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1.119.242.393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1.121.879.753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1.121.613.057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5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[ITC11] Torino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907.282.092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985.052.507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1.158.299.760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729.327.860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668.745.127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648.619.580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5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[ITC12] Vercelli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6.496.114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11.908.617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15.678.594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16.517.901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10.188.372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4.234.558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6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[ITC15] Novara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34.900.062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39.795.211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41.776.143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50.075.714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65.206.957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57.924.101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6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[ITC16] Cuneo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265.880.768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439.980.835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345.425.397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226.895.379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290.197.192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300.012.764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7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[ITC17] Asti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9.998.146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16.619.615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20.298.896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11.784.454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14.389.052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21.295.002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7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[ITC18] Alessandria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20.605.612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29.904.639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36.657.083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26.739.208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35.024.240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54.852.262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8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[ITC13] Biella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33.468.784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43.175.366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96.820.813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51.069.892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33.451.795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31.831.981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8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[ITC14] Verbano-Cusio-Ossola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6.321.518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8.428.967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6.148.084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6.831.985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4.677.018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2.842.809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9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[ITC2] Valle d'Aosta / Vallée d'Aoste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6.928.891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171.365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606.839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1.814.647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3.314.855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1.430.142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9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[ITC20] Valle d'Aosta / VallÃ©e d'Aoste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6.928.891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171.365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606.839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1.814.647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3.314.855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1.430.142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A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[ITC3] Liguria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71.082.384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120.266.058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133.793.378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134.593.444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137.429.818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180.835.819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A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[ITC31] Imperia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247.704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201.146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532.611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1.011.836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237.283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63.594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B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[ITC32] Savona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13.014.197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30.191.370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31.012.838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15.733.748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17.294.326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8.141.729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B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[ITC33] Genova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55.302.066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81.705.147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84.885.317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102.599.113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110.448.284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157.993.811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C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[ITC34] La Spezia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2.518.417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8.168.395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17.362.612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15.248.747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9.449.925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14.636.685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 Lombardia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2.222.075.770</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3.082.758.954</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C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3.898.212.851</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3.399.713.625</w:t>
            </w:r>
          </w:p>
        </w:tc>
        <w:tc>
          <w:tcPr>
            <w:gridSpan w:val="2"/>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3.479.797.353</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D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3.724.918.271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D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[ITC41] Varese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79.700.531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118.129.055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146.322.667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121.299.479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129.489.582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127.335.726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D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[ITC42] Como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91.882.176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126.498.306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128.101.484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125.898.555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105.210.713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113.269.599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E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[ITC44] Sondrio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1.609.388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2.264.930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3.005.317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3.524.301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3.762.024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3.610.780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[ITC45] Milano  </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E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1.063.656.530</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E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1.426.129.539</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E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1.985.129.235</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F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1.806.450.260</w:t>
            </w:r>
          </w:p>
        </w:tc>
        <w:tc>
          <w:tcPr>
            <w:gridSpan w:val="2"/>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F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1.806.703.503</w:t>
            </w:r>
          </w:p>
        </w:tc>
        <w:tc>
          <w:tcPr>
            <w:tcBorders>
              <w:top w:color="000000" w:space="0" w:sz="0" w:val="nil"/>
              <w:left w:color="000000" w:space="0" w:sz="0" w:val="nil"/>
              <w:bottom w:color="000000" w:space="0" w:sz="4" w:val="single"/>
              <w:right w:color="000000" w:space="0" w:sz="4" w:val="single"/>
            </w:tcBorders>
            <w:shd w:fill="ffff00" w:val="clear"/>
            <w:vAlign w:val="bottom"/>
          </w:tcPr>
          <w:p w:rsidR="00000000" w:rsidDel="00000000" w:rsidP="00000000" w:rsidRDefault="00000000" w:rsidRPr="00000000" w14:paraId="000000F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1.861.645.382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F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[ITC46] Bergamo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206.727.078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313.197.698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403.140.663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305.399.269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353.454.690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368.718.239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F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[ITC47] Brescia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163.564.778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313.478.631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401.657.648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280.542.744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263.361.052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277.185.238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0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[ITC48] Pavia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19.701.271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34.270.840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34.660.185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65.756.690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34.568.360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165.543.600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0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[ITC4A] Cremona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43.638.110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96.382.708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0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103.476.574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50.718.386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78.114.631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164.231.725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1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[ITC4B] Mantova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362.522.944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395.481.071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344.444.649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339.767.838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363.673.273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294.778.667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1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[ITC43] Lecco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39.538.724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59.154.745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1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83.626.094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74.040.933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73.541.164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74.523.513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2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[ITC49] Lodi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10.771.941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9.599.221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21.959.947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13.659.382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25.256.935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27.983.694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2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[IT108] Monza e della Brianza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138.762.299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188.172.210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2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242.688.388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212.655.788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242.661.426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246.092.108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3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 Nord-est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1.435.911.205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2.065.371.286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2.994.655.271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2.514.965.619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2.583.098.012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2.649.133.833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3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[ITDA] Trentino Alto Adige / Südtirol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31.817.042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52.150.357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3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232.916.828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87.663.384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79.703.549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60.072.182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4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 Veneto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574.863.629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901.547.677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1.380.776.852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1.084.812.668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1.168.675.670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1.281.794.320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4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[ITD31] Verona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137.747.685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187.270.524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4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251.574.356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236.996.276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267.592.399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356.836.736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5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[ITD32] Vicenza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121.866.142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196.737.649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236.766.970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223.983.147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217.672.036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226.295.649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5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[ITD33] Belluno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8.769.385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15.076.417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5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16.904.326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13.759.979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13.675.603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25.163.003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6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[ITD34] Treviso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114.115.980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172.201.046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254.412.949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181.028.149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215.888.738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218.568.105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6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[ITD35] Venezia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87.050.443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150.601.279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6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369.808.673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242.165.889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258.367.894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198.115.375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7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[ITD36] Padova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89.130.389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160.537.112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231.580.637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154.808.720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169.941.875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222.397.020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7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[ITD37] Rovigo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16.183.605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19.123.650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7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19.728.941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32.070.508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25.537.125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34.418.432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8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[ITD4] Friuli-Venezia Giulia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94.027.705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154.400.345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196.860.937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228.380.148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250.458.375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262.651.729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8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[ITD42] Udine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37.717.587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52.010.221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8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66.002.415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61.073.516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112.484.726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100.111.514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9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[ITD43] Gorizia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4.767.843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4.537.869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10.715.075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10.455.128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25.391.096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7.953.405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9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[ITD44] Trieste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22.943.001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39.292.596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9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52.828.115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120.103.392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74.609.550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120.299.099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A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[ITD41] Pordenone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28.599.274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58.559.659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67.315.332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36.748.112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37.973.003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34.287.711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A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 Emilia-Romagna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735.202.829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957.272.907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A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1.184.100.654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1.114.109.419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1.084.260.418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1.044.615.602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B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[ITD51] Piacenza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89.243.078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104.776.212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127.300.881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126.482.039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82.638.849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85.489.146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B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[ITD52] Parma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44.621.299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66.273.681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B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105.392.106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81.591.732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68.516.379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59.789.661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C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[ITD53] Reggio nell'Emilia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134.579.061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221.966.829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240.178.926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186.889.754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232.186.905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203.917.264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C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[ITD54] Modena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166.576.164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234.182.797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C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329.358.705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300.601.900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283.876.539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288.872.724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D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[ITD55] Bologna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138.309.005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129.616.271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167.530.365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145.622.374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124.989.828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111.034.348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D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[ITD56] Ferrara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3.526.771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12.218.984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D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12.762.704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13.963.417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10.746.594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10.755.320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E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[ITD57] Ravenna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68.011.065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86.600.026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88.611.763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160.873.665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160.847.307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146.074.900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E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[ITD58] ForlÃ¬-Cesena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45.888.991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57.017.216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E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63.266.334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44.535.817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57.976.265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68.842.402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F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[ITD59] Rimini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44.447.395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44.620.891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49.698.870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53.548.721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62.481.752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69.839.837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F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[ITD10] Bolzano / Bozen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9.410.368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24.180.373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1F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21.989.381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18.598.145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23.211.119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25.634.138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0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[ITD20] Trento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22.406.674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27.969.984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210.927.447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69.065.239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56.492.430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34.438.044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0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 Centro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1.501.617.256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1.532.003.089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0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1.809.768.393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2.684.145.659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3.229.689.346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3.237.232.403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1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 Toscana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377.799.492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513.240.057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572.896.883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581.725.891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669.761.040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704.707.062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1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[ITE11] Massa-Carrara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8.828.856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11.968.331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1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19.589.918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33.165.697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48.061.099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61.211.495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2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[ITE12] Lucca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19.641.267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30.047.917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36.268.426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58.371.574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80.759.841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37.422.494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2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[ITE13] Pistoia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27.134.940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41.640.973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57.103.354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49.292.391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41.410.696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43.745.876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3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[ITE14] Firenze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54.823.638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75.943.018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70.647.081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69.775.153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72.013.186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60.484.658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3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[ITE16] Livorno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109.299.249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98.313.898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84.574.319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129.851.375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153.976.395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196.820.364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4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[ITE17] Pisa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32.182.784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40.004.359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69.775.877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57.538.202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48.572.202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48.907.269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4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[ITE18] Arezzo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37.506.827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57.976.989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4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93.699.928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68.428.236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126.909.010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166.437.279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5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[ITE19] Siena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4.243.766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5.815.093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8.297.472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8.888.325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5.132.004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4.176.488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5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[ITE1A] Grosseto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2.769.782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4.636.925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3.581.936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1.551.702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2.268.197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2.858.652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6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[ITE15] Prato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81.368.383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146.892.554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129.358.572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104.863.236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90.658.410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82.642.487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6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[ITE2] Umbria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25.338.717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68.570.170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6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102.919.555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225.683.503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149.680.662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103.793.764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7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[ITE21] Perugia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19.661.701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32.503.103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38.073.977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51.583.415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60.437.547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60.384.649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7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[ITE22] Terni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5.677.016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36.067.067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7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64.845.578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174.100.088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89.243.115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43.409.115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8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[ITE3] Marche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155.442.859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185.432.137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236.422.110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185.428.325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261.546.196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253.381.617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8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[ITE31] Pesaro e Urbino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23.661.571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39.954.782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53.977.797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36.384.954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40.930.184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44.531.995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9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[ITE32] Ancona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99.047.564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101.868.765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102.519.697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89.395.469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159.615.357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151.824.682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9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[ITE33] Macerata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6.365.404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9.543.403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9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16.635.808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14.880.753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12.745.476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11.064.569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A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[ITE34] Ascoli Piceno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20.694.243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26.402.478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49.858.738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34.002.104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38.809.163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37.228.442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A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[IT109] Fermo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5.674.077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7.662.709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13.430.070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10.765.045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9.446.016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8.731.929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B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[ITE4] Lazio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943.036.188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764.760.725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897.529.845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1.691.307.940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2.148.701.448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2.175.349.960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B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[ITE41] Viterbo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44.712.917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37.775.620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B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49.808.589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59.030.785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51.071.069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60.308.455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C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[ITE42] Rieti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478.412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898.784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3.274.401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1.167.007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1.959.942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1.876.814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C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[ITE43] Roma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866.264.165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673.108.484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C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766.291.260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1.580.961.165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2.056.080.918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2.073.274.251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D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[ITE44] Latina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9.885.552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14.564.784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21.989.140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13.731.436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16.903.454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17.815.562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D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[ITE45] Frosinone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21.695.142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38.413.053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D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56.166.455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36.417.547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22.686.065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22.074.878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E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 Sud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781.507.349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1.096.243.732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1.235.625.714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1.281.471.340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1.201.044.484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1.204.086.512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E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[ITF1] Abruzzo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72.454.701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102.736.338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E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121.973.883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99.462.752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107.772.047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115.750.395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F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[ITF11] L'Aquila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9.918.789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15.615.714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16.482.401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16.442.094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14.352.147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10.806.460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2F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[ITF12] Teramo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19.998.124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38.132.231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F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51.255.367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41.430.192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31.600.687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30.160.851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0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[ITF13] Pescara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12.549.224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15.450.807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20.433.809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12.855.243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17.267.596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14.887.145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0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[ITF14] Chieti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29.988.564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33.537.586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0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33.802.306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28.735.223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44.551.617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59.895.939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1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[ITF2] Molise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3.910.323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3.822.195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4.942.924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13.971.438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4.632.933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3.100.222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1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[ITF22] Campobasso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3.709.586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3.711.861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1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4.283.219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12.395.035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4.266.564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2.696.925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2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[ITF21] Isernia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200.737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110.334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659.705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1.576.403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366.369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403.297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2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[ITF3] Campania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461.916.644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664.547.311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2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707.771.891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703.899.885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725.191.318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729.375.548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3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[ITF31] Caserta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25.048.454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30.278.632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51.880.575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61.243.948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49.809.650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54.678.017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3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[ITF32] Benevento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9.506.448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7.026.766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3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10.365.408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16.196.188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4.016.245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7.861.564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4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[ITF33] Napoli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233.407.542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371.428.695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374.680.752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393.477.300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414.967.315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445.749.129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4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[ITF34] Avellino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68.858.951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88.176.747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4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85.045.125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89.382.510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95.749.848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78.132.316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5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[ITF35] Salerno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125.095.249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167.636.471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185.800.031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143.599.939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160.648.260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142.954.522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5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[ITF4] Puglia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201.775.883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244.609.732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5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326.856.678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401.406.234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288.936.317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290.328.283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6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[ITF41] Foggia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18.830.628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19.931.951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36.528.427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34.656.418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33.253.020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46.125.449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6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[ITF42] Bari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85.902.066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97.476.894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6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138.273.314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219.737.266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144.818.756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122.600.492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7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[ITF43] Taranto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7.880.415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16.231.097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18.361.404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13.608.996</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11.230.820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28.209.862</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7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[ITF44] Brindisi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3.091.422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1.856.066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7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2.763.910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20.668.151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2.421.962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10.564.614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8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[ITF45] Lecce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6.496.392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10.808.366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14.329.813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11.454.145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6.385.029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8.903.183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8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[IT110] Barletta-Andria-Trani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79.574.960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98.305.358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8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116.599.810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101.281.258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90.826.730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73.924.683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9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[ITF5] Basilicata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25.991.749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43.755.085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36.909.435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31.711.044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44.133.815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34.148.381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9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[ITF51] Potenza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17.814.009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31.411.766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9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21.556.142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18.219.459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29.729.678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19.954.757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A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[ITF52] Matera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8.177.740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12.343.319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15.353.293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13.491.585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14.404.137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14.193.624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A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[ITF6] Calabria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15.458.049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36.773.071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A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37.170.903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31.019.987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30.378.054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31.383.683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B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[ITF61] Cosenza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9.848.809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14.238.559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14.837.689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11.957.093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7.412.132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10.329.328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B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[ITF63] Catanzaro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1.932.788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7.111.367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B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8.078.895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8.634.457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10.136.295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11.315.760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C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[ITF65] Reggio di Calabria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3.184.157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12.827.340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11.914.912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7.689.444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9.281.450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7.659.380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C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[ITF62] Crotone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82.809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1.119.317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C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438.345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1.491.475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549.413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604.316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D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[ITF64] Vibo Valentia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409.486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1.476.488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1.901.062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1.247.518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2.998.764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1.474.899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D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 Isole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140.493.674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361.945.155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D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296.265.903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332.447.494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303.322.035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313.500.450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E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 Sicilia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122.117.914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334.645.689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261.353.929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296.619.741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265.515.371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262.344.164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E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[ITG11] Trapani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2.872.910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16.890.693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E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17.129.558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75.929.194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104.109.791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99.432.416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F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[ITG12] Palermo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21.252.812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31.157.569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35.796.030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9.430.665</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9.522.937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12.811.598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3F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[ITG13] Messina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10.452.759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124.618.452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3F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12.841.649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56.883.869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19.708.722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17.751.138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0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[ITG14] Agrigento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718.622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2.202.819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2.261.272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1.921.891</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2.227.015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1.248.724</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0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[ITG15] Caltanissetta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469.741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969.954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0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3.256.261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3.242.273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3.283.520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3.113.276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1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[ITG16] Enna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152.569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285.377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173.513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302.582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159.929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198.380</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1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[ITG17] Catania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39.143.651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72.828.867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1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91.314.311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68.986.473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84.158.946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92.541.288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2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[ITG18] Ragusa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3.402.291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7.671.628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11.175.828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4.207.857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6.225.213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6.913.791</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2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[ITG19] Siracusa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43.652.559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78.020.330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2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87.405.507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75.714.937</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36.119.298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28.333.553</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3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[ITG2] Sardegna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18.375.760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27.299.466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34.911.974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35.827.753</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37.806.664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51.156.286</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3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[ITG25] Sassari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2.742.346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3.704.443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3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6.171.736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7.316.009</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3.292.715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2.885.955</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4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[ITG26] Nuoro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188.972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33.154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190.348</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713.025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1.369.059</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4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[ITG27] Cagliari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14.430.809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19.129.742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4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15.077.689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13.344.722</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23.020.986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30.074.598</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5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[ITG28] Oristano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1.182.179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1.322.289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13.382.489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14.576.644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10.759.485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16.753.597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5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[IT111] Sud Sardegna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20.426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2.954.020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5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246.906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400.030</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20.453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73.077</w:t>
            </w:r>
          </w:p>
        </w:tc>
      </w:tr>
      <w:tr>
        <w:trPr>
          <w:cantSplit w:val="0"/>
          <w:trHeight w:val="21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64">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[ITNI1] Regioni diverse o non specificate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5">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12.843.808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6">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14.592.053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7">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155.395.213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8">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78.944.094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9">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13.448.490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B">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4.241.242</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46C">
            <w:pPr>
              <w:spacing w:after="0" w:line="240" w:lineRule="auto"/>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[ITNI13] Province non specificate e altri stati membri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D">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12.843.808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E">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14.592.053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6F">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155.395.213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0">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78.944.094</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1">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13.448.490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73">
            <w:pPr>
              <w:spacing w:after="0" w:line="240" w:lineRule="auto"/>
              <w:jc w:val="right"/>
              <w:rPr>
                <w:rFonts w:ascii="Aptos Narrow" w:cs="Aptos Narrow" w:eastAsia="Aptos Narrow" w:hAnsi="Aptos Narrow"/>
                <w:color w:val="000000"/>
                <w:sz w:val="16"/>
                <w:szCs w:val="16"/>
              </w:rPr>
            </w:pPr>
            <w:r w:rsidDel="00000000" w:rsidR="00000000" w:rsidRPr="00000000">
              <w:rPr>
                <w:rFonts w:ascii="Aptos Narrow" w:cs="Aptos Narrow" w:eastAsia="Aptos Narrow" w:hAnsi="Aptos Narrow"/>
                <w:color w:val="000000"/>
                <w:sz w:val="16"/>
                <w:szCs w:val="16"/>
                <w:rtl w:val="0"/>
              </w:rPr>
              <w:t xml:space="preserve">4.241.242</w:t>
            </w:r>
          </w:p>
        </w:tc>
      </w:tr>
    </w:tbl>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tl w:val="0"/>
        </w:rPr>
      </w:r>
    </w:p>
    <w:sectPr>
      <w:head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Narro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stegnoexport.i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8r2hJ7pWFV36i9rPt93YJkBA==">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